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09BD8" w14:textId="5BC5F40E" w:rsidR="00A1461D" w:rsidRPr="00ED6788" w:rsidRDefault="00A1461D" w:rsidP="00ED6788">
      <w:pPr>
        <w:spacing w:line="240" w:lineRule="auto"/>
        <w:jc w:val="both"/>
        <w:rPr>
          <w:sz w:val="20"/>
          <w:szCs w:val="20"/>
          <w:lang w:val="sr-Cyrl-RS"/>
        </w:rPr>
      </w:pPr>
      <w:r w:rsidRPr="00ED6788">
        <w:rPr>
          <w:sz w:val="20"/>
          <w:szCs w:val="20"/>
          <w:lang w:val="sr-Cyrl-RS"/>
        </w:rPr>
        <w:t>У складу са</w:t>
      </w:r>
      <w:r w:rsidRPr="00ED6788">
        <w:rPr>
          <w:sz w:val="20"/>
          <w:szCs w:val="20"/>
        </w:rPr>
        <w:t xml:space="preserve"> </w:t>
      </w:r>
      <w:r w:rsidRPr="00ED6788">
        <w:rPr>
          <w:sz w:val="20"/>
          <w:szCs w:val="20"/>
          <w:lang w:val="sr-Cyrl-RS"/>
        </w:rPr>
        <w:t>Унапред припремљеним планом реогранизације усвојен</w:t>
      </w:r>
      <w:r w:rsidR="00862726" w:rsidRPr="00ED6788">
        <w:rPr>
          <w:sz w:val="20"/>
          <w:szCs w:val="20"/>
          <w:lang w:val="sr-Cyrl-RS"/>
        </w:rPr>
        <w:t>им</w:t>
      </w:r>
      <w:r w:rsidRPr="00ED6788">
        <w:rPr>
          <w:sz w:val="20"/>
          <w:szCs w:val="20"/>
          <w:lang w:val="sr-Cyrl-RS"/>
        </w:rPr>
        <w:t xml:space="preserve"> Решењем Привредног суда у Нишу Рео 1/23 од 15.08.2023. године и правноснажн</w:t>
      </w:r>
      <w:r w:rsidR="00862726" w:rsidRPr="00ED6788">
        <w:rPr>
          <w:sz w:val="20"/>
          <w:szCs w:val="20"/>
          <w:lang w:val="sr-Cyrl-RS"/>
        </w:rPr>
        <w:t>им</w:t>
      </w:r>
      <w:r w:rsidRPr="00ED6788">
        <w:rPr>
          <w:sz w:val="20"/>
          <w:szCs w:val="20"/>
          <w:lang w:val="sr-Cyrl-RS"/>
        </w:rPr>
        <w:t xml:space="preserve"> на основу Решења Привредног апелационог суда 8 Пвж 423/23 од 23.10.2024. године, Акционарско друштво „Тигар“, Пирот, матични број: </w:t>
      </w:r>
      <w:r w:rsidR="00862726" w:rsidRPr="00ED6788">
        <w:rPr>
          <w:sz w:val="20"/>
          <w:szCs w:val="20"/>
          <w:lang w:val="sr-Cyrl-RS"/>
        </w:rPr>
        <w:t>07187769</w:t>
      </w:r>
      <w:r w:rsidRPr="00ED6788">
        <w:rPr>
          <w:sz w:val="20"/>
          <w:szCs w:val="20"/>
          <w:lang w:val="sr-Cyrl-RS"/>
        </w:rPr>
        <w:t xml:space="preserve"> </w:t>
      </w:r>
      <w:r w:rsidRPr="00ED6788">
        <w:rPr>
          <w:sz w:val="20"/>
          <w:szCs w:val="20"/>
        </w:rPr>
        <w:t>(</w:t>
      </w:r>
      <w:r w:rsidRPr="00ED6788">
        <w:rPr>
          <w:sz w:val="20"/>
          <w:szCs w:val="20"/>
          <w:lang w:val="sr-Cyrl-RS"/>
        </w:rPr>
        <w:t>у даљем тексту: „</w:t>
      </w:r>
      <w:r w:rsidR="003167B2" w:rsidRPr="00ED6788">
        <w:rPr>
          <w:sz w:val="20"/>
          <w:szCs w:val="20"/>
          <w:lang w:val="sr-Cyrl-RS"/>
        </w:rPr>
        <w:t>Друштво</w:t>
      </w:r>
      <w:r w:rsidRPr="00ED6788">
        <w:rPr>
          <w:sz w:val="20"/>
          <w:szCs w:val="20"/>
          <w:lang w:val="sr-Cyrl-RS"/>
        </w:rPr>
        <w:t>“) објављује:</w:t>
      </w:r>
    </w:p>
    <w:p w14:paraId="0D97903A" w14:textId="0A8372BC" w:rsidR="00A1461D" w:rsidRPr="00A1461D" w:rsidRDefault="00A1461D" w:rsidP="00ED6788">
      <w:pPr>
        <w:spacing w:line="240" w:lineRule="auto"/>
        <w:jc w:val="center"/>
        <w:rPr>
          <w:b/>
          <w:bCs/>
          <w:sz w:val="24"/>
          <w:szCs w:val="24"/>
          <w:lang w:val="sr-Cyrl-RS"/>
        </w:rPr>
      </w:pPr>
      <w:r w:rsidRPr="00A1461D">
        <w:rPr>
          <w:b/>
          <w:bCs/>
          <w:sz w:val="24"/>
          <w:szCs w:val="24"/>
        </w:rPr>
        <w:t>JАВНИ ПОЗИВ</w:t>
      </w:r>
      <w:r w:rsidR="00172B87">
        <w:rPr>
          <w:b/>
          <w:bCs/>
          <w:sz w:val="24"/>
          <w:szCs w:val="24"/>
        </w:rPr>
        <w:t xml:space="preserve"> </w:t>
      </w:r>
      <w:r w:rsidRPr="00A1461D">
        <w:rPr>
          <w:b/>
          <w:bCs/>
          <w:sz w:val="24"/>
          <w:szCs w:val="24"/>
        </w:rPr>
        <w:t xml:space="preserve">ЗА УЧЕШЋЕ У ПОСТУПКУ ЈАВНОГ ПРИКУПЉАЊА ПОНУДА СА ЈАВНИМ НАДМЕТАЊЕМ РАДИ </w:t>
      </w:r>
      <w:r w:rsidRPr="00862726">
        <w:rPr>
          <w:b/>
          <w:bCs/>
          <w:sz w:val="24"/>
          <w:szCs w:val="24"/>
          <w:lang w:val="sr-Cyrl-RS"/>
        </w:rPr>
        <w:t>ИЗБОРА ИНВЕСТИТОРА</w:t>
      </w:r>
      <w:r w:rsidR="00862726" w:rsidRPr="00862726">
        <w:rPr>
          <w:b/>
          <w:bCs/>
          <w:sz w:val="24"/>
          <w:szCs w:val="24"/>
          <w:lang w:val="sr-Cyrl-RS"/>
        </w:rPr>
        <w:t xml:space="preserve"> У ЦИЉУ ПОВЕЋАЊА ОСНОВНОГ КАПИТАЛА АД „ТИГАР“ ПИРОТ</w:t>
      </w:r>
    </w:p>
    <w:p w14:paraId="5248C0AA" w14:textId="77777777" w:rsidR="00862726" w:rsidRPr="00ED6788" w:rsidRDefault="00862726" w:rsidP="00ED6788">
      <w:pPr>
        <w:numPr>
          <w:ilvl w:val="0"/>
          <w:numId w:val="1"/>
        </w:numPr>
        <w:spacing w:line="240" w:lineRule="auto"/>
        <w:ind w:hanging="720"/>
        <w:rPr>
          <w:sz w:val="20"/>
          <w:szCs w:val="20"/>
          <w:lang w:val="sr-Cyrl-RS"/>
        </w:rPr>
      </w:pPr>
      <w:r w:rsidRPr="00ED6788">
        <w:rPr>
          <w:b/>
          <w:bCs/>
          <w:sz w:val="20"/>
          <w:szCs w:val="20"/>
          <w:lang w:val="sr-Cyrl-RS"/>
        </w:rPr>
        <w:t>Квалификациони услови за учешће у Поступку</w:t>
      </w:r>
    </w:p>
    <w:p w14:paraId="4C1420DC" w14:textId="77777777" w:rsidR="00862726" w:rsidRPr="00ED6788" w:rsidRDefault="00862726" w:rsidP="00ED6788">
      <w:pPr>
        <w:spacing w:line="240" w:lineRule="auto"/>
        <w:jc w:val="both"/>
        <w:rPr>
          <w:sz w:val="20"/>
          <w:szCs w:val="20"/>
          <w:lang w:val="sr-Cyrl-RS"/>
        </w:rPr>
      </w:pPr>
      <w:r w:rsidRPr="00ED6788">
        <w:rPr>
          <w:sz w:val="20"/>
          <w:szCs w:val="20"/>
          <w:lang w:val="sr-Cyrl-RS"/>
        </w:rPr>
        <w:t>Право на учешће у Поступку имају домаћа и страна правна и физичка лица, као и конзорцијум правних и/или физичких лица.</w:t>
      </w:r>
    </w:p>
    <w:p w14:paraId="65A7C190" w14:textId="4C6D38B9" w:rsidR="00862726" w:rsidRPr="00ED6788" w:rsidRDefault="00862726" w:rsidP="00ED6788">
      <w:pPr>
        <w:numPr>
          <w:ilvl w:val="0"/>
          <w:numId w:val="1"/>
        </w:numPr>
        <w:spacing w:line="240" w:lineRule="auto"/>
        <w:ind w:hanging="720"/>
        <w:rPr>
          <w:sz w:val="20"/>
          <w:szCs w:val="20"/>
          <w:lang w:val="sr-Cyrl-RS"/>
        </w:rPr>
      </w:pPr>
      <w:r w:rsidRPr="00ED6788">
        <w:rPr>
          <w:b/>
          <w:bCs/>
          <w:sz w:val="20"/>
          <w:szCs w:val="20"/>
          <w:lang w:val="sr-Cyrl-RS"/>
        </w:rPr>
        <w:t xml:space="preserve">Основно подаци о </w:t>
      </w:r>
      <w:r w:rsidR="003167B2" w:rsidRPr="00ED6788">
        <w:rPr>
          <w:b/>
          <w:bCs/>
          <w:sz w:val="20"/>
          <w:szCs w:val="20"/>
          <w:lang w:val="sr-Cyrl-RS"/>
        </w:rPr>
        <w:t>Друштву</w:t>
      </w:r>
    </w:p>
    <w:tbl>
      <w:tblPr>
        <w:tblStyle w:val="TableGrid"/>
        <w:tblW w:w="0" w:type="auto"/>
        <w:tblLook w:val="04A0" w:firstRow="1" w:lastRow="0" w:firstColumn="1" w:lastColumn="0" w:noHBand="0" w:noVBand="1"/>
      </w:tblPr>
      <w:tblGrid>
        <w:gridCol w:w="2065"/>
        <w:gridCol w:w="7285"/>
      </w:tblGrid>
      <w:tr w:rsidR="00862726" w:rsidRPr="00ED6788" w14:paraId="72A65B10" w14:textId="77777777" w:rsidTr="00401EF1">
        <w:tc>
          <w:tcPr>
            <w:tcW w:w="2065" w:type="dxa"/>
          </w:tcPr>
          <w:p w14:paraId="3D1CBA49" w14:textId="0FB1C149" w:rsidR="00862726" w:rsidRPr="00ED6788" w:rsidRDefault="00401EF1" w:rsidP="00ED6788">
            <w:pPr>
              <w:spacing w:after="120" w:line="240" w:lineRule="auto"/>
              <w:rPr>
                <w:sz w:val="20"/>
                <w:szCs w:val="20"/>
                <w:lang w:val="sr-Cyrl-RS"/>
              </w:rPr>
            </w:pPr>
            <w:r w:rsidRPr="00ED6788">
              <w:rPr>
                <w:sz w:val="20"/>
                <w:szCs w:val="20"/>
                <w:lang w:val="sr-Cyrl-RS"/>
              </w:rPr>
              <w:t>Пословно име:</w:t>
            </w:r>
          </w:p>
        </w:tc>
        <w:tc>
          <w:tcPr>
            <w:tcW w:w="7285" w:type="dxa"/>
          </w:tcPr>
          <w:p w14:paraId="12236354" w14:textId="59225F7E" w:rsidR="00862726" w:rsidRPr="00ED6788" w:rsidRDefault="00401EF1" w:rsidP="00ED6788">
            <w:pPr>
              <w:spacing w:after="120" w:line="240" w:lineRule="auto"/>
              <w:rPr>
                <w:sz w:val="20"/>
                <w:szCs w:val="20"/>
                <w:lang w:val="sr-Cyrl-RS"/>
              </w:rPr>
            </w:pPr>
            <w:r w:rsidRPr="00ED6788">
              <w:rPr>
                <w:sz w:val="20"/>
                <w:szCs w:val="20"/>
              </w:rPr>
              <w:t>АКЦИОНАРСКО ДРУШТВО ТИГАР ПИРОТ</w:t>
            </w:r>
          </w:p>
        </w:tc>
      </w:tr>
      <w:tr w:rsidR="00862726" w:rsidRPr="00ED6788" w14:paraId="6B4FB6F0" w14:textId="77777777" w:rsidTr="00401EF1">
        <w:tc>
          <w:tcPr>
            <w:tcW w:w="2065" w:type="dxa"/>
          </w:tcPr>
          <w:p w14:paraId="730074F0" w14:textId="3A5D836F" w:rsidR="00862726" w:rsidRPr="00ED6788" w:rsidRDefault="00401EF1" w:rsidP="00ED6788">
            <w:pPr>
              <w:spacing w:after="120" w:line="240" w:lineRule="auto"/>
              <w:rPr>
                <w:sz w:val="20"/>
                <w:szCs w:val="20"/>
                <w:lang w:val="sr-Cyrl-RS"/>
              </w:rPr>
            </w:pPr>
            <w:r w:rsidRPr="00ED6788">
              <w:rPr>
                <w:sz w:val="20"/>
                <w:szCs w:val="20"/>
                <w:lang w:val="sr-Cyrl-RS"/>
              </w:rPr>
              <w:t>Седиште:</w:t>
            </w:r>
          </w:p>
        </w:tc>
        <w:tc>
          <w:tcPr>
            <w:tcW w:w="7285" w:type="dxa"/>
          </w:tcPr>
          <w:p w14:paraId="73930C67" w14:textId="0201F09A" w:rsidR="00862726" w:rsidRPr="00ED6788" w:rsidRDefault="00401EF1" w:rsidP="00ED6788">
            <w:pPr>
              <w:spacing w:after="120" w:line="240" w:lineRule="auto"/>
              <w:rPr>
                <w:sz w:val="20"/>
                <w:szCs w:val="20"/>
                <w:lang w:val="sr-Cyrl-RS"/>
              </w:rPr>
            </w:pPr>
            <w:r w:rsidRPr="00ED6788">
              <w:rPr>
                <w:sz w:val="20"/>
                <w:szCs w:val="20"/>
                <w:lang w:val="sr-Cyrl-RS"/>
              </w:rPr>
              <w:t>Улица Николе Пашића 197, Пирот</w:t>
            </w:r>
          </w:p>
        </w:tc>
      </w:tr>
      <w:tr w:rsidR="00862726" w:rsidRPr="00ED6788" w14:paraId="6DE03F93" w14:textId="77777777" w:rsidTr="00401EF1">
        <w:tc>
          <w:tcPr>
            <w:tcW w:w="2065" w:type="dxa"/>
          </w:tcPr>
          <w:p w14:paraId="6C2A0833" w14:textId="52CF7EA5" w:rsidR="00862726" w:rsidRPr="00ED6788" w:rsidRDefault="00401EF1" w:rsidP="00ED6788">
            <w:pPr>
              <w:spacing w:after="120" w:line="240" w:lineRule="auto"/>
              <w:rPr>
                <w:sz w:val="20"/>
                <w:szCs w:val="20"/>
                <w:lang w:val="sr-Cyrl-RS"/>
              </w:rPr>
            </w:pPr>
            <w:r w:rsidRPr="00ED6788">
              <w:rPr>
                <w:sz w:val="20"/>
                <w:szCs w:val="20"/>
                <w:lang w:val="sr-Cyrl-RS"/>
              </w:rPr>
              <w:t>Матични број:</w:t>
            </w:r>
          </w:p>
        </w:tc>
        <w:tc>
          <w:tcPr>
            <w:tcW w:w="7285" w:type="dxa"/>
          </w:tcPr>
          <w:p w14:paraId="238985D7" w14:textId="3C7F0B39" w:rsidR="00862726" w:rsidRPr="00ED6788" w:rsidRDefault="00401EF1" w:rsidP="00ED6788">
            <w:pPr>
              <w:spacing w:after="120" w:line="240" w:lineRule="auto"/>
              <w:rPr>
                <w:sz w:val="20"/>
                <w:szCs w:val="20"/>
                <w:lang w:val="sr-Cyrl-RS"/>
              </w:rPr>
            </w:pPr>
            <w:r w:rsidRPr="00ED6788">
              <w:rPr>
                <w:sz w:val="20"/>
                <w:szCs w:val="20"/>
                <w:lang w:val="sr-Cyrl-RS"/>
              </w:rPr>
              <w:t>07187769</w:t>
            </w:r>
          </w:p>
        </w:tc>
      </w:tr>
      <w:tr w:rsidR="00862726" w:rsidRPr="00ED6788" w14:paraId="19A41A5D" w14:textId="77777777" w:rsidTr="00401EF1">
        <w:tc>
          <w:tcPr>
            <w:tcW w:w="2065" w:type="dxa"/>
          </w:tcPr>
          <w:p w14:paraId="4EF3ECA1" w14:textId="2AC426B8" w:rsidR="00862726" w:rsidRPr="00ED6788" w:rsidRDefault="00401EF1" w:rsidP="00ED6788">
            <w:pPr>
              <w:spacing w:after="120" w:line="240" w:lineRule="auto"/>
              <w:rPr>
                <w:sz w:val="20"/>
                <w:szCs w:val="20"/>
                <w:lang w:val="sr-Cyrl-RS"/>
              </w:rPr>
            </w:pPr>
            <w:r w:rsidRPr="00ED6788">
              <w:rPr>
                <w:sz w:val="20"/>
                <w:szCs w:val="20"/>
                <w:lang w:val="sr-Cyrl-RS"/>
              </w:rPr>
              <w:t>Делатност:</w:t>
            </w:r>
          </w:p>
        </w:tc>
        <w:tc>
          <w:tcPr>
            <w:tcW w:w="7285" w:type="dxa"/>
          </w:tcPr>
          <w:p w14:paraId="7EC9AAA3" w14:textId="560B1BAD" w:rsidR="00862726" w:rsidRPr="00ED6788" w:rsidRDefault="00401EF1" w:rsidP="00ED6788">
            <w:pPr>
              <w:spacing w:after="120" w:line="240" w:lineRule="auto"/>
              <w:rPr>
                <w:sz w:val="20"/>
                <w:szCs w:val="20"/>
                <w:lang w:val="sr-Cyrl-RS"/>
              </w:rPr>
            </w:pPr>
            <w:r w:rsidRPr="00ED6788">
              <w:rPr>
                <w:sz w:val="20"/>
                <w:szCs w:val="20"/>
              </w:rPr>
              <w:t xml:space="preserve">6420 - </w:t>
            </w:r>
            <w:r w:rsidRPr="00ED6788">
              <w:rPr>
                <w:sz w:val="20"/>
                <w:szCs w:val="20"/>
                <w:lang w:val="sr-Cyrl-RS"/>
              </w:rPr>
              <w:t>Делатност холдинг компанија</w:t>
            </w:r>
          </w:p>
        </w:tc>
      </w:tr>
      <w:tr w:rsidR="00862726" w:rsidRPr="00ED6788" w14:paraId="72678B7E" w14:textId="77777777" w:rsidTr="00401EF1">
        <w:tc>
          <w:tcPr>
            <w:tcW w:w="2065" w:type="dxa"/>
          </w:tcPr>
          <w:p w14:paraId="47943209" w14:textId="04C8B6FC" w:rsidR="00862726" w:rsidRPr="00ED6788" w:rsidRDefault="00A93303" w:rsidP="00ED6788">
            <w:pPr>
              <w:spacing w:after="120" w:line="240" w:lineRule="auto"/>
              <w:rPr>
                <w:sz w:val="20"/>
                <w:szCs w:val="20"/>
                <w:lang w:val="sr-Cyrl-RS"/>
              </w:rPr>
            </w:pPr>
            <w:r w:rsidRPr="00ED6788">
              <w:rPr>
                <w:sz w:val="20"/>
                <w:szCs w:val="20"/>
                <w:lang w:val="sr-Cyrl-RS"/>
              </w:rPr>
              <w:t>Основни капитал</w:t>
            </w:r>
            <w:r w:rsidR="0020642B">
              <w:rPr>
                <w:sz w:val="20"/>
                <w:szCs w:val="20"/>
                <w:lang w:val="sr-Cyrl-RS"/>
              </w:rPr>
              <w:t>:</w:t>
            </w:r>
          </w:p>
        </w:tc>
        <w:tc>
          <w:tcPr>
            <w:tcW w:w="7285" w:type="dxa"/>
          </w:tcPr>
          <w:p w14:paraId="54027214" w14:textId="7F544E8B" w:rsidR="00A93303" w:rsidRPr="00ED6788" w:rsidRDefault="00A93303" w:rsidP="00ED6788">
            <w:pPr>
              <w:spacing w:after="120" w:line="240" w:lineRule="auto"/>
              <w:jc w:val="both"/>
              <w:rPr>
                <w:sz w:val="20"/>
                <w:szCs w:val="20"/>
                <w:lang w:val="sr-Latn-RS"/>
              </w:rPr>
            </w:pPr>
            <w:r w:rsidRPr="00ED6788">
              <w:rPr>
                <w:sz w:val="20"/>
                <w:szCs w:val="20"/>
                <w:lang w:val="sr-Cyrl-RS"/>
              </w:rPr>
              <w:t>Уписан и уплаћен новчани капитал</w:t>
            </w:r>
            <w:r w:rsidRPr="00ED6788">
              <w:rPr>
                <w:sz w:val="20"/>
                <w:szCs w:val="20"/>
                <w:lang w:val="sr-Latn-RS"/>
              </w:rPr>
              <w:t xml:space="preserve"> (</w:t>
            </w:r>
            <w:r w:rsidRPr="00ED6788">
              <w:rPr>
                <w:sz w:val="20"/>
                <w:szCs w:val="20"/>
                <w:lang w:val="sr-Cyrl-RS"/>
              </w:rPr>
              <w:t xml:space="preserve">АПР): 4.099.562.478,00 РСД. </w:t>
            </w:r>
          </w:p>
          <w:p w14:paraId="14FDBFD4" w14:textId="77777777" w:rsidR="00083C67" w:rsidRPr="00ED6788" w:rsidRDefault="00AA4810" w:rsidP="00ED6788">
            <w:pPr>
              <w:spacing w:after="120" w:line="240" w:lineRule="auto"/>
              <w:jc w:val="both"/>
              <w:rPr>
                <w:sz w:val="20"/>
                <w:szCs w:val="20"/>
                <w:lang w:val="sr-Cyrl-RS"/>
              </w:rPr>
            </w:pPr>
            <w:r w:rsidRPr="00ED6788">
              <w:rPr>
                <w:sz w:val="20"/>
                <w:szCs w:val="20"/>
                <w:lang w:val="sr-Cyrl-RS"/>
              </w:rPr>
              <w:t>Укупан регистровани капитал је акцијски, издат у оквиру емисије акција CFI код ESVUFR, ISIN број RS</w:t>
            </w:r>
            <w:r w:rsidR="00240FCB" w:rsidRPr="00ED6788">
              <w:rPr>
                <w:sz w:val="20"/>
                <w:szCs w:val="20"/>
                <w:lang w:val="sr-Cyrl-RS"/>
              </w:rPr>
              <w:t>TIGRE</w:t>
            </w:r>
            <w:r w:rsidRPr="00ED6788">
              <w:rPr>
                <w:sz w:val="20"/>
                <w:szCs w:val="20"/>
                <w:lang w:val="sr-Cyrl-RS"/>
              </w:rPr>
              <w:t>55421, са укупно 10.961.397 акција</w:t>
            </w:r>
            <w:r w:rsidR="00A93303" w:rsidRPr="00ED6788">
              <w:rPr>
                <w:sz w:val="20"/>
                <w:szCs w:val="20"/>
                <w:lang w:val="sr-Cyrl-RS"/>
              </w:rPr>
              <w:t xml:space="preserve"> номиналне вредности 374,00 РСД. </w:t>
            </w:r>
          </w:p>
          <w:p w14:paraId="0C414D19" w14:textId="77777777" w:rsidR="00862726" w:rsidRPr="00ED6788" w:rsidRDefault="00A93303" w:rsidP="00ED6788">
            <w:pPr>
              <w:spacing w:after="120" w:line="240" w:lineRule="auto"/>
              <w:jc w:val="both"/>
              <w:rPr>
                <w:sz w:val="20"/>
                <w:szCs w:val="20"/>
                <w:lang w:val="sr-Cyrl-RS"/>
              </w:rPr>
            </w:pPr>
            <w:r w:rsidRPr="00ED6788">
              <w:rPr>
                <w:sz w:val="20"/>
                <w:szCs w:val="20"/>
                <w:lang w:val="sr-Cyrl-RS"/>
              </w:rPr>
              <w:t>У складу са Унапред припремљеним планом реорганизације, извршиће се повлачење и поништавање свих акција Друштва издатих до дана покретања претходног стечајног поступка за усвајање Унапред припремљеног плана реорганизације, а ради покрића губитка изнад висине капитала. Конкретно, биће поништено 8.156.236 акција.</w:t>
            </w:r>
          </w:p>
          <w:p w14:paraId="16D6FFCC" w14:textId="15E8006D" w:rsidR="00083C67" w:rsidRPr="00ED6788" w:rsidRDefault="00083C67" w:rsidP="00ED6788">
            <w:pPr>
              <w:spacing w:after="0" w:line="240" w:lineRule="auto"/>
              <w:jc w:val="both"/>
              <w:rPr>
                <w:sz w:val="20"/>
                <w:szCs w:val="20"/>
                <w:lang w:val="sr-Cyrl-RS"/>
              </w:rPr>
            </w:pPr>
            <w:r w:rsidRPr="00ED6788">
              <w:rPr>
                <w:sz w:val="20"/>
                <w:szCs w:val="20"/>
                <w:lang w:val="sr-Cyrl-RS"/>
              </w:rPr>
              <w:t>Након спроведених промена, структура капи</w:t>
            </w:r>
            <w:r w:rsidR="00702C64" w:rsidRPr="00ED6788">
              <w:rPr>
                <w:sz w:val="20"/>
                <w:szCs w:val="20"/>
                <w:lang w:val="sr-Cyrl-RS"/>
              </w:rPr>
              <w:t>тала ће бити како следи:</w:t>
            </w:r>
          </w:p>
          <w:p w14:paraId="0531F95A" w14:textId="230EF957" w:rsidR="00702C64" w:rsidRPr="00ED6788" w:rsidRDefault="00702C64" w:rsidP="00ED6788">
            <w:pPr>
              <w:numPr>
                <w:ilvl w:val="0"/>
                <w:numId w:val="4"/>
              </w:numPr>
              <w:tabs>
                <w:tab w:val="left" w:pos="720"/>
              </w:tabs>
              <w:spacing w:after="0" w:line="240" w:lineRule="auto"/>
              <w:jc w:val="both"/>
              <w:rPr>
                <w:sz w:val="20"/>
                <w:szCs w:val="20"/>
                <w:lang w:val="sr-Cyrl-RS"/>
              </w:rPr>
            </w:pPr>
            <w:r w:rsidRPr="00ED6788">
              <w:rPr>
                <w:sz w:val="20"/>
                <w:szCs w:val="20"/>
                <w:lang w:val="sr-Cyrl-RS"/>
              </w:rPr>
              <w:t>Републички фонд ПИО: 1.584.281 акција (56,48% капитала);</w:t>
            </w:r>
          </w:p>
          <w:p w14:paraId="6937B068" w14:textId="4A84B626" w:rsidR="00702C64" w:rsidRPr="00ED6788" w:rsidRDefault="00702C64" w:rsidP="00ED6788">
            <w:pPr>
              <w:numPr>
                <w:ilvl w:val="0"/>
                <w:numId w:val="4"/>
              </w:numPr>
              <w:tabs>
                <w:tab w:val="left" w:pos="720"/>
              </w:tabs>
              <w:spacing w:after="0" w:line="240" w:lineRule="auto"/>
              <w:jc w:val="both"/>
              <w:rPr>
                <w:sz w:val="20"/>
                <w:szCs w:val="20"/>
                <w:lang w:val="sr-Cyrl-RS"/>
              </w:rPr>
            </w:pPr>
            <w:r w:rsidRPr="00ED6788">
              <w:rPr>
                <w:sz w:val="20"/>
                <w:szCs w:val="20"/>
                <w:lang w:val="sr-Cyrl-RS"/>
              </w:rPr>
              <w:t>Републички фонд за здравствено осигурање: 596.373 акција (21,26% капитала);</w:t>
            </w:r>
          </w:p>
          <w:p w14:paraId="1112CF62" w14:textId="468CA999" w:rsidR="00593D10" w:rsidRPr="00ED6788" w:rsidRDefault="00593D10" w:rsidP="00ED6788">
            <w:pPr>
              <w:numPr>
                <w:ilvl w:val="0"/>
                <w:numId w:val="4"/>
              </w:numPr>
              <w:tabs>
                <w:tab w:val="left" w:pos="720"/>
              </w:tabs>
              <w:spacing w:after="0" w:line="240" w:lineRule="auto"/>
              <w:jc w:val="both"/>
              <w:rPr>
                <w:sz w:val="20"/>
                <w:szCs w:val="20"/>
                <w:lang w:val="sr-Cyrl-RS"/>
              </w:rPr>
            </w:pPr>
            <w:r w:rsidRPr="00ED6788">
              <w:rPr>
                <w:sz w:val="20"/>
                <w:szCs w:val="20"/>
                <w:lang w:val="sr-Cyrl-RS"/>
              </w:rPr>
              <w:t>Град Пирот: 328.642 акција (11,7</w:t>
            </w:r>
            <w:r w:rsidR="003554AC" w:rsidRPr="00ED6788">
              <w:rPr>
                <w:sz w:val="20"/>
                <w:szCs w:val="20"/>
                <w:lang w:val="sr-Cyrl-RS"/>
              </w:rPr>
              <w:t>1</w:t>
            </w:r>
            <w:r w:rsidRPr="00ED6788">
              <w:rPr>
                <w:sz w:val="20"/>
                <w:szCs w:val="20"/>
                <w:lang w:val="sr-Cyrl-RS"/>
              </w:rPr>
              <w:t>% капитала);</w:t>
            </w:r>
          </w:p>
          <w:p w14:paraId="18778743" w14:textId="604CA140" w:rsidR="00702C64" w:rsidRPr="00ED6788" w:rsidRDefault="00702C64" w:rsidP="00ED6788">
            <w:pPr>
              <w:numPr>
                <w:ilvl w:val="0"/>
                <w:numId w:val="4"/>
              </w:numPr>
              <w:tabs>
                <w:tab w:val="left" w:pos="720"/>
              </w:tabs>
              <w:spacing w:after="0" w:line="240" w:lineRule="auto"/>
              <w:jc w:val="both"/>
              <w:rPr>
                <w:sz w:val="20"/>
                <w:szCs w:val="20"/>
                <w:lang w:val="sr-Cyrl-RS"/>
              </w:rPr>
            </w:pPr>
            <w:r w:rsidRPr="00ED6788">
              <w:rPr>
                <w:sz w:val="20"/>
                <w:szCs w:val="20"/>
                <w:lang w:val="sr-Cyrl-RS"/>
              </w:rPr>
              <w:t>Пореска управа – порези у корист РС: 193.173 акције (6,89% капитала);</w:t>
            </w:r>
          </w:p>
          <w:p w14:paraId="5417A61D" w14:textId="40207364" w:rsidR="00702C64" w:rsidRPr="00ED6788" w:rsidRDefault="00702C64" w:rsidP="00ED6788">
            <w:pPr>
              <w:numPr>
                <w:ilvl w:val="0"/>
                <w:numId w:val="4"/>
              </w:numPr>
              <w:tabs>
                <w:tab w:val="left" w:pos="720"/>
              </w:tabs>
              <w:spacing w:after="0" w:line="240" w:lineRule="auto"/>
              <w:jc w:val="both"/>
              <w:rPr>
                <w:sz w:val="20"/>
                <w:szCs w:val="20"/>
                <w:lang w:val="sr-Cyrl-RS"/>
              </w:rPr>
            </w:pPr>
            <w:r w:rsidRPr="00ED6788">
              <w:rPr>
                <w:sz w:val="20"/>
                <w:szCs w:val="20"/>
                <w:lang w:val="sr-Cyrl-RS"/>
              </w:rPr>
              <w:t>Национална служба за запошљавање</w:t>
            </w:r>
            <w:r w:rsidR="002826FA" w:rsidRPr="00ED6788">
              <w:rPr>
                <w:sz w:val="20"/>
                <w:szCs w:val="20"/>
                <w:lang w:val="sr-Latn-RS"/>
              </w:rPr>
              <w:t>:</w:t>
            </w:r>
            <w:r w:rsidRPr="00ED6788">
              <w:rPr>
                <w:sz w:val="20"/>
                <w:szCs w:val="20"/>
                <w:lang w:val="sr-Cyrl-RS"/>
              </w:rPr>
              <w:t xml:space="preserve"> 58.201 акција (2,07% капитала); </w:t>
            </w:r>
          </w:p>
          <w:p w14:paraId="7E3D01FF" w14:textId="7EDE604C" w:rsidR="00702C64" w:rsidRPr="00ED6788" w:rsidRDefault="00702C64" w:rsidP="00ED6788">
            <w:pPr>
              <w:numPr>
                <w:ilvl w:val="0"/>
                <w:numId w:val="4"/>
              </w:numPr>
              <w:tabs>
                <w:tab w:val="left" w:pos="720"/>
              </w:tabs>
              <w:spacing w:after="0" w:line="240" w:lineRule="auto"/>
              <w:jc w:val="both"/>
              <w:rPr>
                <w:sz w:val="20"/>
                <w:szCs w:val="20"/>
                <w:lang w:val="sr-Cyrl-RS"/>
              </w:rPr>
            </w:pPr>
            <w:r w:rsidRPr="00ED6788">
              <w:rPr>
                <w:sz w:val="20"/>
                <w:szCs w:val="20"/>
                <w:lang w:val="sr-Cyrl-RS"/>
              </w:rPr>
              <w:t>Град Београд: 36.417 акција (1,30% капита);</w:t>
            </w:r>
          </w:p>
          <w:p w14:paraId="22F0BAB7" w14:textId="77777777" w:rsidR="00702C64" w:rsidRPr="00ED6788" w:rsidRDefault="00702C64" w:rsidP="00ED6788">
            <w:pPr>
              <w:numPr>
                <w:ilvl w:val="0"/>
                <w:numId w:val="4"/>
              </w:numPr>
              <w:tabs>
                <w:tab w:val="left" w:pos="720"/>
              </w:tabs>
              <w:spacing w:after="0" w:line="240" w:lineRule="auto"/>
              <w:jc w:val="both"/>
              <w:rPr>
                <w:sz w:val="20"/>
                <w:szCs w:val="20"/>
                <w:lang w:val="sr-Cyrl-RS"/>
              </w:rPr>
            </w:pPr>
            <w:r w:rsidRPr="00ED6788">
              <w:rPr>
                <w:sz w:val="20"/>
                <w:szCs w:val="20"/>
                <w:lang w:val="sr-Cyrl-RS"/>
              </w:rPr>
              <w:t>Град Ниш: 4.612 акција (0,16% капитала);</w:t>
            </w:r>
          </w:p>
          <w:p w14:paraId="3C4FD2A6" w14:textId="77777777" w:rsidR="00702C64" w:rsidRPr="00ED6788" w:rsidRDefault="00702C64" w:rsidP="00ED6788">
            <w:pPr>
              <w:numPr>
                <w:ilvl w:val="0"/>
                <w:numId w:val="4"/>
              </w:numPr>
              <w:tabs>
                <w:tab w:val="left" w:pos="720"/>
              </w:tabs>
              <w:spacing w:after="0" w:line="240" w:lineRule="auto"/>
              <w:jc w:val="both"/>
              <w:rPr>
                <w:sz w:val="20"/>
                <w:szCs w:val="20"/>
                <w:lang w:val="sr-Cyrl-RS"/>
              </w:rPr>
            </w:pPr>
            <w:r w:rsidRPr="00ED6788">
              <w:rPr>
                <w:sz w:val="20"/>
                <w:szCs w:val="20"/>
                <w:lang w:val="sr-Cyrl-RS"/>
              </w:rPr>
              <w:t>Општина Апатин: 1.863 акције (0,07% капитала) и</w:t>
            </w:r>
          </w:p>
          <w:p w14:paraId="1B504B5A" w14:textId="262B40FE" w:rsidR="00702C64" w:rsidRPr="00ED6788" w:rsidRDefault="00702C64" w:rsidP="00ED6788">
            <w:pPr>
              <w:numPr>
                <w:ilvl w:val="0"/>
                <w:numId w:val="4"/>
              </w:numPr>
              <w:tabs>
                <w:tab w:val="left" w:pos="720"/>
              </w:tabs>
              <w:spacing w:after="0" w:line="240" w:lineRule="auto"/>
              <w:jc w:val="both"/>
              <w:rPr>
                <w:sz w:val="20"/>
                <w:szCs w:val="20"/>
                <w:lang w:val="sr-Cyrl-RS"/>
              </w:rPr>
            </w:pPr>
            <w:r w:rsidRPr="00ED6788">
              <w:rPr>
                <w:sz w:val="20"/>
                <w:szCs w:val="20"/>
                <w:lang w:val="sr-Cyrl-RS"/>
              </w:rPr>
              <w:t>Општина Димитровград: 1.599 акција (0,06% капитала).</w:t>
            </w:r>
          </w:p>
        </w:tc>
      </w:tr>
    </w:tbl>
    <w:p w14:paraId="56138555" w14:textId="015E1852" w:rsidR="00A11291" w:rsidRPr="00ED6788" w:rsidRDefault="00A11291" w:rsidP="00ED6788">
      <w:pPr>
        <w:numPr>
          <w:ilvl w:val="0"/>
          <w:numId w:val="1"/>
        </w:numPr>
        <w:spacing w:before="240" w:line="240" w:lineRule="auto"/>
        <w:ind w:hanging="720"/>
        <w:rPr>
          <w:sz w:val="20"/>
          <w:szCs w:val="20"/>
          <w:lang w:val="sr-Cyrl-RS"/>
        </w:rPr>
      </w:pPr>
      <w:r w:rsidRPr="00ED6788">
        <w:rPr>
          <w:b/>
          <w:bCs/>
          <w:sz w:val="20"/>
          <w:szCs w:val="20"/>
          <w:lang w:val="sr-Cyrl-RS"/>
        </w:rPr>
        <w:t xml:space="preserve">Минимални износ </w:t>
      </w:r>
      <w:r w:rsidR="00C46429" w:rsidRPr="00ED6788">
        <w:rPr>
          <w:b/>
          <w:bCs/>
          <w:sz w:val="20"/>
          <w:szCs w:val="20"/>
          <w:lang w:val="sr-Cyrl-RS"/>
        </w:rPr>
        <w:t>повећања основног капитала</w:t>
      </w:r>
    </w:p>
    <w:p w14:paraId="48FC1075" w14:textId="77777777" w:rsidR="003167B2" w:rsidRPr="00ED6788" w:rsidRDefault="00C46429" w:rsidP="00ED6788">
      <w:pPr>
        <w:spacing w:line="240" w:lineRule="auto"/>
        <w:rPr>
          <w:sz w:val="20"/>
          <w:szCs w:val="20"/>
          <w:lang w:val="sr-Cyrl-RS"/>
        </w:rPr>
      </w:pPr>
      <w:r w:rsidRPr="00ED6788">
        <w:rPr>
          <w:sz w:val="20"/>
          <w:szCs w:val="20"/>
          <w:lang w:val="sr-Cyrl-RS"/>
        </w:rPr>
        <w:t>Минимални износ повећања основног капитала износи 10.000.000,00 ЕУР (</w:t>
      </w:r>
      <w:r w:rsidR="003167B2" w:rsidRPr="00ED6788">
        <w:rPr>
          <w:sz w:val="20"/>
          <w:szCs w:val="20"/>
          <w:lang w:val="sr-Cyrl-RS"/>
        </w:rPr>
        <w:t xml:space="preserve">словима: </w:t>
      </w:r>
      <w:r w:rsidRPr="00ED6788">
        <w:rPr>
          <w:sz w:val="20"/>
          <w:szCs w:val="20"/>
          <w:lang w:val="sr-Cyrl-RS"/>
        </w:rPr>
        <w:t xml:space="preserve">десет милиона евра) у динарској противвредности по средњем курсу Народне банке Србије на дан уплате. </w:t>
      </w:r>
    </w:p>
    <w:p w14:paraId="405AAAB0" w14:textId="1639927D" w:rsidR="003167B2" w:rsidRPr="00ED6788" w:rsidRDefault="003167B2" w:rsidP="00ED6788">
      <w:pPr>
        <w:pStyle w:val="BDONormal"/>
        <w:spacing w:line="240" w:lineRule="auto"/>
        <w:jc w:val="both"/>
        <w:rPr>
          <w:sz w:val="20"/>
          <w:szCs w:val="20"/>
          <w:lang w:val="sr-Latn-CS"/>
        </w:rPr>
      </w:pPr>
      <w:r w:rsidRPr="00ED6788">
        <w:rPr>
          <w:sz w:val="20"/>
          <w:szCs w:val="20"/>
          <w:lang w:val="sr-Latn-CS"/>
        </w:rPr>
        <w:lastRenderedPageBreak/>
        <w:t xml:space="preserve">По основу </w:t>
      </w:r>
      <w:r w:rsidRPr="00ED6788">
        <w:rPr>
          <w:sz w:val="20"/>
          <w:szCs w:val="20"/>
          <w:lang w:val="sr-Cyrl-RS"/>
        </w:rPr>
        <w:t>повећања основног капитала</w:t>
      </w:r>
      <w:r w:rsidRPr="00ED6788">
        <w:rPr>
          <w:sz w:val="20"/>
          <w:szCs w:val="20"/>
          <w:lang w:val="sr-Latn-CS"/>
        </w:rPr>
        <w:t xml:space="preserve"> емитоваће се хартије од вредности Д</w:t>
      </w:r>
      <w:r w:rsidRPr="00ED6788">
        <w:rPr>
          <w:sz w:val="20"/>
          <w:szCs w:val="20"/>
          <w:lang w:val="sr-Cyrl-RS"/>
        </w:rPr>
        <w:t>руштва</w:t>
      </w:r>
      <w:r w:rsidRPr="00ED6788">
        <w:rPr>
          <w:sz w:val="20"/>
          <w:szCs w:val="20"/>
          <w:lang w:val="sr-Latn-CS"/>
        </w:rPr>
        <w:t xml:space="preserve"> – обичне акције са правом гласа по емисионој вредности од 100,00 динара за једну акцију (што је уједно и номинална вредност акције) на који начин инвеститор стиче учешће у капиталу Д</w:t>
      </w:r>
      <w:r w:rsidRPr="00ED6788">
        <w:rPr>
          <w:sz w:val="20"/>
          <w:szCs w:val="20"/>
          <w:lang w:val="sr-Cyrl-RS"/>
        </w:rPr>
        <w:t>руштва</w:t>
      </w:r>
      <w:r w:rsidRPr="00ED6788">
        <w:rPr>
          <w:sz w:val="20"/>
          <w:szCs w:val="20"/>
          <w:lang w:val="sr-Latn-CS"/>
        </w:rPr>
        <w:t>.</w:t>
      </w:r>
    </w:p>
    <w:p w14:paraId="2797750F" w14:textId="0C3B6548" w:rsidR="00A11291" w:rsidRPr="00ED6788" w:rsidRDefault="00A11291" w:rsidP="00ED6788">
      <w:pPr>
        <w:numPr>
          <w:ilvl w:val="0"/>
          <w:numId w:val="1"/>
        </w:numPr>
        <w:spacing w:line="240" w:lineRule="auto"/>
        <w:ind w:hanging="720"/>
        <w:rPr>
          <w:sz w:val="20"/>
          <w:szCs w:val="20"/>
          <w:lang w:val="sr-Cyrl-RS"/>
        </w:rPr>
      </w:pPr>
      <w:r w:rsidRPr="00ED6788">
        <w:rPr>
          <w:b/>
          <w:bCs/>
          <w:sz w:val="20"/>
          <w:szCs w:val="20"/>
          <w:lang w:val="sr-Cyrl-RS"/>
        </w:rPr>
        <w:t xml:space="preserve">Рок и начин подношења </w:t>
      </w:r>
      <w:r w:rsidR="00FD0020">
        <w:rPr>
          <w:b/>
          <w:bCs/>
          <w:sz w:val="20"/>
          <w:szCs w:val="20"/>
          <w:lang w:val="sr-Cyrl-RS"/>
        </w:rPr>
        <w:t>П</w:t>
      </w:r>
      <w:r w:rsidRPr="00ED6788">
        <w:rPr>
          <w:b/>
          <w:bCs/>
          <w:sz w:val="20"/>
          <w:szCs w:val="20"/>
          <w:lang w:val="sr-Cyrl-RS"/>
        </w:rPr>
        <w:t>ријаве</w:t>
      </w:r>
    </w:p>
    <w:p w14:paraId="2BF66BEF" w14:textId="15C58D43" w:rsidR="00A11291" w:rsidRPr="00ED6788" w:rsidRDefault="003167B2" w:rsidP="00ED6788">
      <w:pPr>
        <w:spacing w:line="240" w:lineRule="auto"/>
        <w:jc w:val="both"/>
        <w:rPr>
          <w:sz w:val="20"/>
          <w:szCs w:val="20"/>
          <w:lang w:val="sr-Cyrl-RS"/>
        </w:rPr>
      </w:pPr>
      <w:r w:rsidRPr="00ED6788">
        <w:rPr>
          <w:sz w:val="20"/>
          <w:szCs w:val="20"/>
          <w:lang w:val="sr-Cyrl-RS"/>
        </w:rPr>
        <w:t xml:space="preserve">Заинтересована лица могу поднети Пријаве за учешће у Поступку најкасније до </w:t>
      </w:r>
      <w:r w:rsidR="00083C67" w:rsidRPr="00ED6788">
        <w:rPr>
          <w:sz w:val="20"/>
          <w:szCs w:val="20"/>
          <w:lang w:val="sr-Cyrl-RS"/>
        </w:rPr>
        <w:t>31. марта</w:t>
      </w:r>
      <w:r w:rsidR="00A11291" w:rsidRPr="00ED6788">
        <w:rPr>
          <w:sz w:val="20"/>
          <w:szCs w:val="20"/>
          <w:lang w:val="sr-Cyrl-RS"/>
        </w:rPr>
        <w:t xml:space="preserve"> 2025. године до 1</w:t>
      </w:r>
      <w:r w:rsidR="006B7F79" w:rsidRPr="00ED6788">
        <w:rPr>
          <w:sz w:val="20"/>
          <w:szCs w:val="20"/>
          <w:lang w:val="sr-Latn-RS"/>
        </w:rPr>
        <w:t>1</w:t>
      </w:r>
      <w:r w:rsidR="00A11291" w:rsidRPr="00ED6788">
        <w:rPr>
          <w:sz w:val="20"/>
          <w:szCs w:val="20"/>
          <w:lang w:val="sr-Cyrl-RS"/>
        </w:rPr>
        <w:t>.00 часова</w:t>
      </w:r>
      <w:r w:rsidRPr="00ED6788">
        <w:rPr>
          <w:sz w:val="20"/>
          <w:szCs w:val="20"/>
          <w:lang w:val="sr-Cyrl-RS"/>
        </w:rPr>
        <w:t xml:space="preserve"> по локалном времену у Републици Србији.</w:t>
      </w:r>
    </w:p>
    <w:p w14:paraId="6C26C8D2" w14:textId="44A8D205" w:rsidR="003167B2" w:rsidRPr="00ED6788" w:rsidRDefault="003167B2" w:rsidP="00ED6788">
      <w:pPr>
        <w:spacing w:line="240" w:lineRule="auto"/>
        <w:jc w:val="both"/>
        <w:rPr>
          <w:sz w:val="20"/>
          <w:szCs w:val="20"/>
          <w:lang w:val="sr-Cyrl-RS"/>
        </w:rPr>
      </w:pPr>
      <w:r w:rsidRPr="00ED6788">
        <w:rPr>
          <w:sz w:val="20"/>
          <w:szCs w:val="20"/>
          <w:lang w:val="sr-Cyrl-RS"/>
        </w:rPr>
        <w:t xml:space="preserve">Пријава се подноси у оквиру затвореног коверта </w:t>
      </w:r>
      <w:r w:rsidR="007463B1" w:rsidRPr="00ED6788">
        <w:rPr>
          <w:sz w:val="20"/>
          <w:szCs w:val="20"/>
          <w:lang w:val="sr-Cyrl-RS"/>
        </w:rPr>
        <w:t xml:space="preserve">у форми прописаној Упутством за понуђаче </w:t>
      </w:r>
      <w:r w:rsidRPr="00ED6788">
        <w:rPr>
          <w:sz w:val="20"/>
          <w:szCs w:val="20"/>
          <w:lang w:val="sr-Cyrl-RS"/>
        </w:rPr>
        <w:t>и обавезно садржи: (1) идентификационе податке за понуђача; (2) понуђени износ за повећање основног капитала Друштва у еврима; (3) доказ о уплаћеном депозиту или банкарску гаранцију.</w:t>
      </w:r>
    </w:p>
    <w:p w14:paraId="22A45A36" w14:textId="776221DF" w:rsidR="007463B1" w:rsidRPr="00ED6788" w:rsidRDefault="007463B1" w:rsidP="00ED6788">
      <w:pPr>
        <w:spacing w:line="240" w:lineRule="auto"/>
        <w:jc w:val="both"/>
        <w:rPr>
          <w:sz w:val="20"/>
          <w:szCs w:val="20"/>
          <w:lang w:val="sr-Cyrl-RS"/>
        </w:rPr>
      </w:pPr>
      <w:r w:rsidRPr="00ED6788">
        <w:rPr>
          <w:sz w:val="20"/>
          <w:szCs w:val="20"/>
          <w:lang w:val="sr-Cyrl-RS"/>
        </w:rPr>
        <w:t>Изузетно, у случају када је понуђач истовремено и поверилац Друштва чија укупна потраживања према Друштву су једнака или већа од износа обавезног депозита, нема обавезу уплате депозита, односно полагања банкарске гаранције</w:t>
      </w:r>
      <w:r w:rsidR="00FD0020">
        <w:rPr>
          <w:sz w:val="20"/>
          <w:szCs w:val="20"/>
          <w:lang w:val="sr-Cyrl-RS"/>
        </w:rPr>
        <w:t>.</w:t>
      </w:r>
      <w:r w:rsidR="00ED6788">
        <w:rPr>
          <w:sz w:val="20"/>
          <w:szCs w:val="20"/>
          <w:lang w:val="sr-Latn-RS"/>
        </w:rPr>
        <w:t xml:space="preserve"> </w:t>
      </w:r>
      <w:r w:rsidR="00FD0020">
        <w:rPr>
          <w:sz w:val="20"/>
          <w:szCs w:val="20"/>
          <w:lang w:val="sr-Cyrl-RS"/>
        </w:rPr>
        <w:t>У</w:t>
      </w:r>
      <w:r w:rsidR="00ED6788">
        <w:rPr>
          <w:sz w:val="20"/>
          <w:szCs w:val="20"/>
          <w:lang w:val="sr-Cyrl-RS"/>
        </w:rPr>
        <w:t xml:space="preserve"> случају губитка права на повраћај депозита</w:t>
      </w:r>
      <w:r w:rsidR="00FD0020">
        <w:rPr>
          <w:sz w:val="20"/>
          <w:szCs w:val="20"/>
          <w:lang w:val="sr-Cyrl-RS"/>
        </w:rPr>
        <w:t>,</w:t>
      </w:r>
      <w:r w:rsidR="00ED6788">
        <w:rPr>
          <w:sz w:val="20"/>
          <w:szCs w:val="20"/>
          <w:lang w:val="sr-Cyrl-RS"/>
        </w:rPr>
        <w:t xml:space="preserve"> укупна потраживања према Друштву би</w:t>
      </w:r>
      <w:r w:rsidR="00FD0020">
        <w:rPr>
          <w:sz w:val="20"/>
          <w:szCs w:val="20"/>
          <w:lang w:val="sr-Cyrl-RS"/>
        </w:rPr>
        <w:t>ће</w:t>
      </w:r>
      <w:r w:rsidR="00ED6788">
        <w:rPr>
          <w:sz w:val="20"/>
          <w:szCs w:val="20"/>
          <w:lang w:val="sr-Cyrl-RS"/>
        </w:rPr>
        <w:t xml:space="preserve"> </w:t>
      </w:r>
      <w:r w:rsidR="004A6A67">
        <w:rPr>
          <w:sz w:val="20"/>
          <w:szCs w:val="20"/>
          <w:lang w:val="sr-Cyrl-RS"/>
        </w:rPr>
        <w:t xml:space="preserve">му </w:t>
      </w:r>
      <w:r w:rsidR="00ED6788">
        <w:rPr>
          <w:sz w:val="20"/>
          <w:szCs w:val="20"/>
          <w:lang w:val="sr-Cyrl-RS"/>
        </w:rPr>
        <w:t>умањена за износ обавезног депозита.</w:t>
      </w:r>
    </w:p>
    <w:p w14:paraId="377EB4E6" w14:textId="3F248540" w:rsidR="003167B2" w:rsidRPr="00ED6788" w:rsidRDefault="003167B2" w:rsidP="00ED6788">
      <w:pPr>
        <w:spacing w:line="240" w:lineRule="auto"/>
        <w:rPr>
          <w:sz w:val="20"/>
          <w:szCs w:val="20"/>
          <w:lang w:val="sr-Cyrl-RS"/>
        </w:rPr>
      </w:pPr>
      <w:r w:rsidRPr="00ED6788">
        <w:rPr>
          <w:sz w:val="20"/>
          <w:szCs w:val="20"/>
          <w:lang w:val="sr-Cyrl-RS"/>
        </w:rPr>
        <w:t xml:space="preserve">Само благовремене и потпуне </w:t>
      </w:r>
      <w:r w:rsidR="00522868" w:rsidRPr="00ED6788">
        <w:rPr>
          <w:sz w:val="20"/>
          <w:szCs w:val="20"/>
          <w:lang w:val="sr-Cyrl-RS"/>
        </w:rPr>
        <w:t>П</w:t>
      </w:r>
      <w:r w:rsidRPr="00ED6788">
        <w:rPr>
          <w:sz w:val="20"/>
          <w:szCs w:val="20"/>
          <w:lang w:val="sr-Cyrl-RS"/>
        </w:rPr>
        <w:t>ријаве ће бити разматране.</w:t>
      </w:r>
    </w:p>
    <w:p w14:paraId="4255F73D" w14:textId="77777777" w:rsidR="00F169F3" w:rsidRPr="00ED6788" w:rsidRDefault="00F169F3" w:rsidP="00ED6788">
      <w:pPr>
        <w:spacing w:line="240" w:lineRule="auto"/>
        <w:jc w:val="both"/>
        <w:rPr>
          <w:sz w:val="20"/>
          <w:szCs w:val="20"/>
          <w:lang w:val="sr-Cyrl-RS"/>
        </w:rPr>
      </w:pPr>
      <w:r w:rsidRPr="00ED6788">
        <w:rPr>
          <w:sz w:val="20"/>
          <w:szCs w:val="20"/>
          <w:lang w:val="sr-Cyrl-RS"/>
        </w:rPr>
        <w:t>Сва заинересована лица могу добити Упутство за понуђаче подношењем захтева на следеће адресе електронске поште:</w:t>
      </w:r>
      <w:r w:rsidRPr="00ED6788">
        <w:rPr>
          <w:sz w:val="20"/>
          <w:szCs w:val="20"/>
        </w:rPr>
        <w:t xml:space="preserve"> </w:t>
      </w:r>
      <w:hyperlink r:id="rId5" w:history="1">
        <w:r w:rsidRPr="00ED6788">
          <w:rPr>
            <w:rStyle w:val="Hyperlink"/>
            <w:sz w:val="20"/>
            <w:szCs w:val="20"/>
          </w:rPr>
          <w:t>кabinet@tigar.com</w:t>
        </w:r>
      </w:hyperlink>
      <w:r w:rsidRPr="00ED6788">
        <w:rPr>
          <w:sz w:val="20"/>
          <w:szCs w:val="20"/>
          <w:lang w:val="sr-Cyrl-RS"/>
        </w:rPr>
        <w:t xml:space="preserve"> и </w:t>
      </w:r>
      <w:hyperlink r:id="rId6" w:history="1">
        <w:r w:rsidRPr="00ED6788">
          <w:rPr>
            <w:rStyle w:val="Hyperlink"/>
            <w:sz w:val="20"/>
            <w:szCs w:val="20"/>
            <w:lang w:val="sr-Cyrl-RS"/>
          </w:rPr>
          <w:t>gorica.stankovic@tigar.</w:t>
        </w:r>
        <w:r w:rsidRPr="00ED6788">
          <w:rPr>
            <w:rStyle w:val="Hyperlink"/>
            <w:sz w:val="20"/>
            <w:szCs w:val="20"/>
            <w:lang w:val="sr-Latn-RS"/>
          </w:rPr>
          <w:t>com</w:t>
        </w:r>
      </w:hyperlink>
      <w:r w:rsidRPr="00ED6788">
        <w:rPr>
          <w:sz w:val="20"/>
          <w:szCs w:val="20"/>
          <w:lang w:val="sr-Cyrl-RS"/>
        </w:rPr>
        <w:t xml:space="preserve"> са назнаком „Захтев за добијање Упутства за понуђаче“. Уз захтев, заинтересована лица су дужна да доставе основне идентификационе податке.</w:t>
      </w:r>
    </w:p>
    <w:p w14:paraId="1A58E581" w14:textId="23FDD547" w:rsidR="006B7F79" w:rsidRPr="00ED6788" w:rsidRDefault="006B7F79" w:rsidP="00ED6788">
      <w:pPr>
        <w:numPr>
          <w:ilvl w:val="0"/>
          <w:numId w:val="1"/>
        </w:numPr>
        <w:spacing w:line="240" w:lineRule="auto"/>
        <w:ind w:hanging="720"/>
        <w:rPr>
          <w:b/>
          <w:bCs/>
          <w:sz w:val="20"/>
          <w:szCs w:val="20"/>
          <w:lang w:val="sr-Cyrl-RS"/>
        </w:rPr>
      </w:pPr>
      <w:r w:rsidRPr="00ED6788">
        <w:rPr>
          <w:b/>
          <w:bCs/>
          <w:sz w:val="20"/>
          <w:szCs w:val="20"/>
          <w:lang w:val="sr-Cyrl-RS"/>
        </w:rPr>
        <w:t>Датум, време и место отварања Пријава</w:t>
      </w:r>
    </w:p>
    <w:p w14:paraId="279848DA" w14:textId="58A788C9" w:rsidR="006B7F79" w:rsidRPr="00ED6788" w:rsidRDefault="006B7F79" w:rsidP="00ED6788">
      <w:pPr>
        <w:spacing w:line="240" w:lineRule="auto"/>
        <w:jc w:val="both"/>
        <w:rPr>
          <w:sz w:val="20"/>
          <w:szCs w:val="20"/>
          <w:lang w:val="sr-Cyrl-RS"/>
        </w:rPr>
      </w:pPr>
      <w:r w:rsidRPr="00ED6788">
        <w:rPr>
          <w:sz w:val="20"/>
          <w:szCs w:val="20"/>
          <w:lang w:val="sr-Cyrl-RS"/>
        </w:rPr>
        <w:t xml:space="preserve">Отварање Пријава одржаће се </w:t>
      </w:r>
      <w:r w:rsidR="00FD0020">
        <w:rPr>
          <w:sz w:val="20"/>
          <w:szCs w:val="20"/>
          <w:lang w:val="sr-Cyrl-RS"/>
        </w:rPr>
        <w:t>4</w:t>
      </w:r>
      <w:r w:rsidR="00083C67" w:rsidRPr="00ED6788">
        <w:rPr>
          <w:sz w:val="20"/>
          <w:szCs w:val="20"/>
          <w:lang w:val="sr-Cyrl-RS"/>
        </w:rPr>
        <w:t xml:space="preserve">. </w:t>
      </w:r>
      <w:r w:rsidR="00FD0020">
        <w:rPr>
          <w:sz w:val="20"/>
          <w:szCs w:val="20"/>
          <w:lang w:val="sr-Cyrl-RS"/>
        </w:rPr>
        <w:t>априла</w:t>
      </w:r>
      <w:r w:rsidRPr="00ED6788">
        <w:rPr>
          <w:sz w:val="20"/>
          <w:szCs w:val="20"/>
          <w:lang w:val="sr-Cyrl-RS"/>
        </w:rPr>
        <w:t xml:space="preserve"> 2025. године у просторијама Друштва, на адреси: Николе Пашића 197, 18300 Пирот, у 12:00 часова по локалном времену у Републици Србији.</w:t>
      </w:r>
    </w:p>
    <w:p w14:paraId="77D48686" w14:textId="43CA255D" w:rsidR="006B7F79" w:rsidRPr="00ED6788" w:rsidRDefault="006B7F79" w:rsidP="00ED6788">
      <w:pPr>
        <w:spacing w:line="240" w:lineRule="auto"/>
        <w:jc w:val="both"/>
        <w:rPr>
          <w:sz w:val="20"/>
          <w:szCs w:val="20"/>
          <w:lang w:val="sr-Cyrl-RS"/>
        </w:rPr>
      </w:pPr>
      <w:r w:rsidRPr="00ED6788">
        <w:rPr>
          <w:sz w:val="20"/>
          <w:szCs w:val="20"/>
          <w:lang w:val="sr-Cyrl-RS"/>
        </w:rPr>
        <w:t>Отварању Пријава могу да присуствују учесници, њихови заступници или пуномоћници и друга заинтересована лица</w:t>
      </w:r>
      <w:r w:rsidR="00DC71C4" w:rsidRPr="00ED6788">
        <w:rPr>
          <w:sz w:val="20"/>
          <w:szCs w:val="20"/>
          <w:lang w:val="sr-Cyrl-RS"/>
        </w:rPr>
        <w:t>.</w:t>
      </w:r>
    </w:p>
    <w:p w14:paraId="7D967227" w14:textId="77777777" w:rsidR="00522868" w:rsidRPr="00ED6788" w:rsidRDefault="00522868" w:rsidP="00ED6788">
      <w:pPr>
        <w:numPr>
          <w:ilvl w:val="0"/>
          <w:numId w:val="1"/>
        </w:numPr>
        <w:spacing w:line="240" w:lineRule="auto"/>
        <w:ind w:hanging="720"/>
        <w:rPr>
          <w:b/>
          <w:bCs/>
          <w:sz w:val="20"/>
          <w:szCs w:val="20"/>
          <w:lang w:val="sr-Cyrl-RS"/>
        </w:rPr>
      </w:pPr>
      <w:r w:rsidRPr="00ED6788">
        <w:rPr>
          <w:b/>
          <w:bCs/>
          <w:sz w:val="20"/>
          <w:szCs w:val="20"/>
          <w:lang w:val="sr-Cyrl-RS"/>
        </w:rPr>
        <w:t>Износ и начин уплате депозита</w:t>
      </w:r>
    </w:p>
    <w:p w14:paraId="0FA632DD" w14:textId="237BA630" w:rsidR="00522868" w:rsidRPr="00ED6788" w:rsidRDefault="00522868" w:rsidP="00ED6788">
      <w:pPr>
        <w:spacing w:line="240" w:lineRule="auto"/>
        <w:jc w:val="both"/>
        <w:rPr>
          <w:sz w:val="20"/>
          <w:szCs w:val="20"/>
          <w:lang w:val="sr-Cyrl-RS"/>
        </w:rPr>
      </w:pPr>
      <w:r w:rsidRPr="00ED6788">
        <w:rPr>
          <w:sz w:val="20"/>
          <w:szCs w:val="20"/>
          <w:lang w:val="sr-Cyrl-RS"/>
        </w:rPr>
        <w:t xml:space="preserve">Депозит може да се уплати у готовом новцу или полагањем првокласне банкарске гаранције. Висина депозита је 2.000.000,00 ЕУР (словима: два милиона евра) у динарској противвредности </w:t>
      </w:r>
      <w:r w:rsidR="007463B1" w:rsidRPr="00ED6788">
        <w:rPr>
          <w:sz w:val="20"/>
          <w:szCs w:val="20"/>
          <w:lang w:val="sr-Cyrl-RS"/>
        </w:rPr>
        <w:t xml:space="preserve">по средњем курсу Народне банке Србије </w:t>
      </w:r>
      <w:r w:rsidRPr="00ED6788">
        <w:rPr>
          <w:sz w:val="20"/>
          <w:szCs w:val="20"/>
          <w:lang w:val="sr-Cyrl-RS"/>
        </w:rPr>
        <w:t>на дан плаћања</w:t>
      </w:r>
      <w:r w:rsidR="006B7F79" w:rsidRPr="00ED6788">
        <w:rPr>
          <w:sz w:val="20"/>
          <w:szCs w:val="20"/>
          <w:lang w:val="sr-Cyrl-RS"/>
        </w:rPr>
        <w:t>, у складу са инструкцијама добијеним од Друштва.</w:t>
      </w:r>
    </w:p>
    <w:p w14:paraId="2F138BEB" w14:textId="1BB77D9A" w:rsidR="00F868E8" w:rsidRPr="00ED6788" w:rsidRDefault="00F868E8" w:rsidP="00ED6788">
      <w:pPr>
        <w:spacing w:line="240" w:lineRule="auto"/>
        <w:jc w:val="both"/>
        <w:rPr>
          <w:sz w:val="20"/>
          <w:szCs w:val="20"/>
          <w:lang w:val="sr-Cyrl-RS"/>
        </w:rPr>
      </w:pPr>
      <w:r w:rsidRPr="00ED6788">
        <w:rPr>
          <w:sz w:val="20"/>
          <w:szCs w:val="20"/>
          <w:lang w:val="sr-Cyrl-RS"/>
        </w:rPr>
        <w:t xml:space="preserve">Заинтересована лица ће добити инструкције за уплату депозита након подношења захтева на адресу електронске поште </w:t>
      </w:r>
      <w:hyperlink r:id="rId7" w:history="1">
        <w:r w:rsidR="00083C67" w:rsidRPr="00ED6788">
          <w:rPr>
            <w:rStyle w:val="Hyperlink"/>
            <w:sz w:val="20"/>
            <w:szCs w:val="20"/>
            <w:lang w:val="sr-Cyrl-RS"/>
          </w:rPr>
          <w:t>gorica.stankovic@tigar.</w:t>
        </w:r>
        <w:r w:rsidR="00083C67" w:rsidRPr="00ED6788">
          <w:rPr>
            <w:rStyle w:val="Hyperlink"/>
            <w:sz w:val="20"/>
            <w:szCs w:val="20"/>
            <w:lang w:val="sr-Latn-RS"/>
          </w:rPr>
          <w:t>com</w:t>
        </w:r>
      </w:hyperlink>
      <w:r w:rsidR="00083C67" w:rsidRPr="00ED6788">
        <w:rPr>
          <w:sz w:val="20"/>
          <w:szCs w:val="20"/>
          <w:lang w:val="sr-Latn-RS"/>
        </w:rPr>
        <w:t xml:space="preserve"> </w:t>
      </w:r>
      <w:r w:rsidRPr="00ED6788">
        <w:rPr>
          <w:sz w:val="20"/>
          <w:szCs w:val="20"/>
          <w:lang w:val="sr-Cyrl-RS"/>
        </w:rPr>
        <w:t>са назнаком „Захтев за добијање инструкција за уплату депозита“. Уз захтев за добијање инструкција за уплату депозита, заинтересована лица су дужна да доставе основне идентификационе податке.</w:t>
      </w:r>
    </w:p>
    <w:p w14:paraId="75FA02F3" w14:textId="15050234" w:rsidR="00522868" w:rsidRPr="00ED6788" w:rsidRDefault="00522868" w:rsidP="00ED6788">
      <w:pPr>
        <w:spacing w:line="240" w:lineRule="auto"/>
        <w:jc w:val="both"/>
        <w:rPr>
          <w:sz w:val="20"/>
          <w:szCs w:val="20"/>
          <w:lang w:val="sr-Cyrl-RS"/>
        </w:rPr>
      </w:pPr>
      <w:r w:rsidRPr="00ED6788">
        <w:rPr>
          <w:sz w:val="20"/>
          <w:szCs w:val="20"/>
          <w:lang w:val="sr-Cyrl-RS"/>
        </w:rPr>
        <w:t xml:space="preserve">Новчани депозит се урачунава у износ </w:t>
      </w:r>
      <w:r w:rsidR="00DC71C4" w:rsidRPr="00ED6788">
        <w:rPr>
          <w:sz w:val="20"/>
          <w:szCs w:val="20"/>
          <w:lang w:val="sr-Cyrl-RS"/>
        </w:rPr>
        <w:t>средстава за повећање основног капитала</w:t>
      </w:r>
      <w:r w:rsidRPr="00ED6788">
        <w:rPr>
          <w:sz w:val="20"/>
          <w:szCs w:val="20"/>
          <w:lang w:val="sr-Cyrl-RS"/>
        </w:rPr>
        <w:t xml:space="preserve">. На уплаћени депозит се не обрачунава камата. </w:t>
      </w:r>
    </w:p>
    <w:p w14:paraId="5E1A7EC3" w14:textId="77777777" w:rsidR="00522868" w:rsidRPr="00ED6788" w:rsidRDefault="00522868" w:rsidP="00ED6788">
      <w:pPr>
        <w:numPr>
          <w:ilvl w:val="0"/>
          <w:numId w:val="1"/>
        </w:numPr>
        <w:spacing w:line="240" w:lineRule="auto"/>
        <w:ind w:hanging="720"/>
        <w:rPr>
          <w:b/>
          <w:bCs/>
          <w:sz w:val="20"/>
          <w:szCs w:val="20"/>
          <w:lang w:val="sr-Cyrl-RS"/>
        </w:rPr>
      </w:pPr>
      <w:r w:rsidRPr="00ED6788">
        <w:rPr>
          <w:b/>
          <w:bCs/>
          <w:sz w:val="20"/>
          <w:szCs w:val="20"/>
          <w:lang w:val="sr-Cyrl-RS"/>
        </w:rPr>
        <w:t>Начин спровођења Поступка</w:t>
      </w:r>
    </w:p>
    <w:p w14:paraId="5AACA91C" w14:textId="18F94371" w:rsidR="00522868" w:rsidRPr="00ED6788" w:rsidRDefault="006B7F79" w:rsidP="00ED6788">
      <w:pPr>
        <w:spacing w:line="240" w:lineRule="auto"/>
        <w:jc w:val="both"/>
        <w:rPr>
          <w:sz w:val="20"/>
          <w:szCs w:val="20"/>
          <w:lang w:val="sr-Cyrl-RS"/>
        </w:rPr>
      </w:pPr>
      <w:r w:rsidRPr="00ED6788">
        <w:rPr>
          <w:sz w:val="20"/>
          <w:szCs w:val="20"/>
          <w:lang w:val="sr-Cyrl-RS"/>
        </w:rPr>
        <w:t>По</w:t>
      </w:r>
      <w:r w:rsidRPr="00ED6788">
        <w:rPr>
          <w:sz w:val="20"/>
          <w:szCs w:val="20"/>
          <w:lang w:val="sr-Latn-CS"/>
        </w:rPr>
        <w:t xml:space="preserve">ступак </w:t>
      </w:r>
      <w:r w:rsidRPr="00ED6788">
        <w:rPr>
          <w:sz w:val="20"/>
          <w:szCs w:val="20"/>
          <w:lang w:val="sr-Cyrl-RS"/>
        </w:rPr>
        <w:t>споводи</w:t>
      </w:r>
      <w:r w:rsidR="00522868" w:rsidRPr="00ED6788">
        <w:rPr>
          <w:sz w:val="20"/>
          <w:szCs w:val="20"/>
          <w:lang w:val="sr-Latn-CS"/>
        </w:rPr>
        <w:t xml:space="preserve"> Комисиј</w:t>
      </w:r>
      <w:r w:rsidRPr="00ED6788">
        <w:rPr>
          <w:sz w:val="20"/>
          <w:szCs w:val="20"/>
          <w:lang w:val="sr-Cyrl-RS"/>
        </w:rPr>
        <w:t>а.</w:t>
      </w:r>
      <w:r w:rsidR="00ED6788">
        <w:rPr>
          <w:sz w:val="20"/>
          <w:szCs w:val="20"/>
          <w:lang w:val="sr-Cyrl-RS"/>
        </w:rPr>
        <w:t xml:space="preserve"> </w:t>
      </w:r>
      <w:r w:rsidR="00522868" w:rsidRPr="00ED6788">
        <w:rPr>
          <w:sz w:val="20"/>
          <w:szCs w:val="20"/>
          <w:lang w:val="sr-Latn-CS"/>
        </w:rPr>
        <w:t xml:space="preserve">Комисија отвара Пријаве и утврђује њихову благовременост и потпуност. Комисија одобрава Пријаву која испуњава услове у складу са Јавним позивом. Уколико ниједна Пријава не испуњава прописане услове, Комисија проглашава поступак неуспешним. </w:t>
      </w:r>
    </w:p>
    <w:p w14:paraId="393CB32F" w14:textId="02D3FD7D" w:rsidR="00522868" w:rsidRPr="00ED6788" w:rsidRDefault="00522868" w:rsidP="00ED6788">
      <w:pPr>
        <w:spacing w:line="240" w:lineRule="auto"/>
        <w:jc w:val="both"/>
        <w:rPr>
          <w:sz w:val="20"/>
          <w:szCs w:val="20"/>
          <w:lang w:val="sr-Latn-CS"/>
        </w:rPr>
      </w:pPr>
      <w:r w:rsidRPr="00ED6788">
        <w:rPr>
          <w:sz w:val="20"/>
          <w:szCs w:val="20"/>
          <w:lang w:val="sr-Latn-CS"/>
        </w:rPr>
        <w:t xml:space="preserve">Комисија утврђује редослед важећих Пријава према висини понуђеног износа за </w:t>
      </w:r>
      <w:r w:rsidRPr="00ED6788">
        <w:rPr>
          <w:sz w:val="20"/>
          <w:szCs w:val="20"/>
          <w:lang w:val="sr-Cyrl-RS"/>
        </w:rPr>
        <w:t>повећање основног капитала</w:t>
      </w:r>
      <w:r w:rsidRPr="00ED6788">
        <w:rPr>
          <w:sz w:val="20"/>
          <w:szCs w:val="20"/>
          <w:lang w:val="sr-Latn-CS"/>
        </w:rPr>
        <w:t>. Највиша понуђена цена представља почетну цену на јавном надметању.</w:t>
      </w:r>
      <w:r w:rsidR="00172B87" w:rsidRPr="00ED6788">
        <w:rPr>
          <w:sz w:val="20"/>
          <w:szCs w:val="20"/>
          <w:lang w:val="sr-Latn-CS"/>
        </w:rPr>
        <w:t xml:space="preserve"> </w:t>
      </w:r>
      <w:r w:rsidRPr="00ED6788">
        <w:rPr>
          <w:sz w:val="20"/>
          <w:szCs w:val="20"/>
          <w:lang w:val="sr-Latn-CS"/>
        </w:rPr>
        <w:t xml:space="preserve">У случају да у </w:t>
      </w:r>
      <w:r w:rsidRPr="00ED6788">
        <w:rPr>
          <w:sz w:val="20"/>
          <w:szCs w:val="20"/>
          <w:lang w:val="sr-Latn-CS"/>
        </w:rPr>
        <w:lastRenderedPageBreak/>
        <w:t>поступку учествује само један учесник за чију Пријаву Комисија утврди да је важећа, Комисија ће тог учесника прогласити Изабраним инвеститором.</w:t>
      </w:r>
    </w:p>
    <w:p w14:paraId="68B2F26E" w14:textId="3AA64F2A" w:rsidR="00522868" w:rsidRPr="00ED6788" w:rsidRDefault="00522868" w:rsidP="00ED6788">
      <w:pPr>
        <w:spacing w:line="240" w:lineRule="auto"/>
        <w:jc w:val="both"/>
        <w:rPr>
          <w:sz w:val="20"/>
          <w:szCs w:val="20"/>
          <w:lang w:val="sr-Cyrl-RS"/>
        </w:rPr>
      </w:pPr>
      <w:r w:rsidRPr="00ED6788">
        <w:rPr>
          <w:sz w:val="20"/>
          <w:szCs w:val="20"/>
          <w:lang w:val="sr-Latn-CS"/>
        </w:rPr>
        <w:t xml:space="preserve">У случају да у поступку учествују најмање два учесника за чије Пријаве Комисија утврди да су важеће, јавно надметање се спроводи одмах по утврђивању редоследа Пријава. Учесник који истакне највишу понуду проглашава се за Изабраног инвеститора. </w:t>
      </w:r>
    </w:p>
    <w:p w14:paraId="33B5D0B8" w14:textId="4383ED70" w:rsidR="00F169F3" w:rsidRPr="00ED6788" w:rsidRDefault="007463B1" w:rsidP="00ED6788">
      <w:pPr>
        <w:spacing w:line="240" w:lineRule="auto"/>
        <w:jc w:val="both"/>
        <w:rPr>
          <w:sz w:val="20"/>
          <w:szCs w:val="20"/>
          <w:lang w:val="sr-Cyrl-RS"/>
        </w:rPr>
      </w:pPr>
      <w:r w:rsidRPr="00ED6788">
        <w:rPr>
          <w:sz w:val="20"/>
          <w:szCs w:val="20"/>
          <w:lang w:val="sr-Cyrl-RS"/>
        </w:rPr>
        <w:t xml:space="preserve">Детаљнији опис начина спровођења Поступка саставни је део Упутства за понуђаче. </w:t>
      </w:r>
    </w:p>
    <w:p w14:paraId="48B0965B" w14:textId="0D85CF36" w:rsidR="00A11291" w:rsidRPr="00ED6788" w:rsidRDefault="00F868E8" w:rsidP="00ED6788">
      <w:pPr>
        <w:numPr>
          <w:ilvl w:val="0"/>
          <w:numId w:val="1"/>
        </w:numPr>
        <w:spacing w:line="240" w:lineRule="auto"/>
        <w:ind w:hanging="720"/>
        <w:rPr>
          <w:b/>
          <w:bCs/>
          <w:sz w:val="20"/>
          <w:szCs w:val="20"/>
          <w:lang w:val="sr-Cyrl-RS"/>
        </w:rPr>
      </w:pPr>
      <w:r w:rsidRPr="00ED6788">
        <w:rPr>
          <w:b/>
          <w:bCs/>
          <w:sz w:val="20"/>
          <w:szCs w:val="20"/>
          <w:lang w:val="sr-Cyrl-RS"/>
        </w:rPr>
        <w:t>Пословни подаци и обилазак Друштва</w:t>
      </w:r>
    </w:p>
    <w:p w14:paraId="2D7DA85C" w14:textId="1A41FD9F" w:rsidR="00A11291" w:rsidRPr="00ED6788" w:rsidRDefault="00F868E8" w:rsidP="00ED6788">
      <w:pPr>
        <w:spacing w:line="240" w:lineRule="auto"/>
        <w:jc w:val="both"/>
        <w:rPr>
          <w:sz w:val="20"/>
          <w:szCs w:val="20"/>
          <w:lang w:val="sr-Cyrl-RS"/>
        </w:rPr>
      </w:pPr>
      <w:r w:rsidRPr="00ED6788">
        <w:rPr>
          <w:sz w:val="20"/>
          <w:szCs w:val="20"/>
          <w:lang w:val="sr-Cyrl-RS"/>
        </w:rPr>
        <w:t xml:space="preserve">Сва заинтересована лица могу извршити увид у Унапред припремљени план реорганизације који је објављен на интернет страници Друштва </w:t>
      </w:r>
      <w:hyperlink r:id="rId8" w:history="1">
        <w:r w:rsidR="00A12914" w:rsidRPr="00ED6788">
          <w:rPr>
            <w:rStyle w:val="Hyperlink"/>
            <w:sz w:val="20"/>
            <w:szCs w:val="20"/>
            <w:lang w:val="sr-Cyrl-RS"/>
          </w:rPr>
          <w:t>http://tigar.com/uppr2022-07-31.html</w:t>
        </w:r>
      </w:hyperlink>
      <w:r w:rsidR="00A12914" w:rsidRPr="00ED6788">
        <w:rPr>
          <w:sz w:val="20"/>
          <w:szCs w:val="20"/>
          <w:lang w:val="sr-Cyrl-RS"/>
        </w:rPr>
        <w:t>.</w:t>
      </w:r>
    </w:p>
    <w:p w14:paraId="05F6F291" w14:textId="0A826F70" w:rsidR="00A12914" w:rsidRPr="00ED6788" w:rsidRDefault="00A12914" w:rsidP="00ED6788">
      <w:pPr>
        <w:spacing w:line="240" w:lineRule="auto"/>
        <w:jc w:val="both"/>
        <w:rPr>
          <w:sz w:val="20"/>
          <w:szCs w:val="20"/>
          <w:lang w:val="sr-Cyrl-RS"/>
        </w:rPr>
      </w:pPr>
      <w:r w:rsidRPr="00ED6788">
        <w:rPr>
          <w:sz w:val="20"/>
          <w:szCs w:val="20"/>
          <w:lang w:val="sr-Cyrl-RS"/>
        </w:rPr>
        <w:t xml:space="preserve">Заинтересована лица могу извршити увид и у другу пословну документацију и заказати посету Друшву у циљу прегледа имовине и пословних књига Друштва, као и обављања интервјуа са руководством након потписивања Уговора о поверљивости. </w:t>
      </w:r>
    </w:p>
    <w:p w14:paraId="64EDAF1D" w14:textId="6532487D" w:rsidR="00A12914" w:rsidRPr="00ED6788" w:rsidRDefault="00A12914" w:rsidP="00ED6788">
      <w:pPr>
        <w:spacing w:line="240" w:lineRule="auto"/>
        <w:jc w:val="both"/>
        <w:rPr>
          <w:sz w:val="20"/>
          <w:szCs w:val="20"/>
          <w:lang w:val="sr-Cyrl-RS"/>
        </w:rPr>
      </w:pPr>
      <w:r w:rsidRPr="00ED6788">
        <w:rPr>
          <w:sz w:val="20"/>
          <w:szCs w:val="20"/>
          <w:lang w:val="sr-Cyrl-RS"/>
        </w:rPr>
        <w:t>Рок за подношење захтева за добијање додатне документације, односно за заказивање посете Друш</w:t>
      </w:r>
      <w:r w:rsidR="00083C67" w:rsidRPr="00ED6788">
        <w:rPr>
          <w:sz w:val="20"/>
          <w:szCs w:val="20"/>
          <w:lang w:val="sr-Cyrl-RS"/>
        </w:rPr>
        <w:t>т</w:t>
      </w:r>
      <w:r w:rsidRPr="00ED6788">
        <w:rPr>
          <w:sz w:val="20"/>
          <w:szCs w:val="20"/>
          <w:lang w:val="sr-Cyrl-RS"/>
        </w:rPr>
        <w:t>ву</w:t>
      </w:r>
      <w:r w:rsidR="00EF25B1" w:rsidRPr="00ED6788">
        <w:rPr>
          <w:sz w:val="20"/>
          <w:szCs w:val="20"/>
          <w:lang w:val="sr-Cyrl-RS"/>
        </w:rPr>
        <w:t xml:space="preserve"> </w:t>
      </w:r>
      <w:r w:rsidRPr="00ED6788">
        <w:rPr>
          <w:sz w:val="20"/>
          <w:szCs w:val="20"/>
          <w:lang w:val="sr-Cyrl-RS"/>
        </w:rPr>
        <w:t xml:space="preserve">је </w:t>
      </w:r>
      <w:r w:rsidR="00083C67" w:rsidRPr="00ED6788">
        <w:rPr>
          <w:sz w:val="20"/>
          <w:szCs w:val="20"/>
          <w:lang w:val="sr-Latn-RS"/>
        </w:rPr>
        <w:t xml:space="preserve">20. </w:t>
      </w:r>
      <w:r w:rsidR="00083C67" w:rsidRPr="00ED6788">
        <w:rPr>
          <w:sz w:val="20"/>
          <w:szCs w:val="20"/>
          <w:lang w:val="sr-Cyrl-RS"/>
        </w:rPr>
        <w:t>март</w:t>
      </w:r>
      <w:r w:rsidRPr="00ED6788">
        <w:rPr>
          <w:sz w:val="20"/>
          <w:szCs w:val="20"/>
          <w:lang w:val="sr-Cyrl-RS"/>
        </w:rPr>
        <w:t xml:space="preserve"> 2025. године у 15.00 часова по локалном времену у Републици Србији.</w:t>
      </w:r>
    </w:p>
    <w:p w14:paraId="0B21541B" w14:textId="7C52E1D2" w:rsidR="00083C67" w:rsidRPr="00ED6788" w:rsidRDefault="00A12914" w:rsidP="00ED6788">
      <w:pPr>
        <w:spacing w:line="240" w:lineRule="auto"/>
        <w:jc w:val="both"/>
        <w:rPr>
          <w:sz w:val="20"/>
          <w:szCs w:val="20"/>
          <w:lang w:val="sr-Cyrl-RS"/>
        </w:rPr>
      </w:pPr>
      <w:r w:rsidRPr="00ED6788">
        <w:rPr>
          <w:sz w:val="20"/>
          <w:szCs w:val="20"/>
          <w:lang w:val="sr-Cyrl-RS"/>
        </w:rPr>
        <w:t>Захтев за добијање друге пословне документације, односно захтев за заказивање посете Друштву упућује се на следећ</w:t>
      </w:r>
      <w:r w:rsidR="00083C67" w:rsidRPr="00ED6788">
        <w:rPr>
          <w:sz w:val="20"/>
          <w:szCs w:val="20"/>
          <w:lang w:val="sr-Cyrl-RS"/>
        </w:rPr>
        <w:t>е</w:t>
      </w:r>
      <w:r w:rsidRPr="00ED6788">
        <w:rPr>
          <w:sz w:val="20"/>
          <w:szCs w:val="20"/>
          <w:lang w:val="sr-Cyrl-RS"/>
        </w:rPr>
        <w:t xml:space="preserve"> адрес</w:t>
      </w:r>
      <w:r w:rsidR="00083C67" w:rsidRPr="00ED6788">
        <w:rPr>
          <w:sz w:val="20"/>
          <w:szCs w:val="20"/>
          <w:lang w:val="sr-Cyrl-RS"/>
        </w:rPr>
        <w:t>е електронске поште</w:t>
      </w:r>
      <w:r w:rsidRPr="00ED6788">
        <w:rPr>
          <w:sz w:val="20"/>
          <w:szCs w:val="20"/>
          <w:lang w:val="sr-Cyrl-RS"/>
        </w:rPr>
        <w:t>:</w:t>
      </w:r>
      <w:r w:rsidR="00083C67" w:rsidRPr="00ED6788">
        <w:rPr>
          <w:sz w:val="20"/>
          <w:szCs w:val="20"/>
        </w:rPr>
        <w:t xml:space="preserve"> </w:t>
      </w:r>
      <w:hyperlink r:id="rId9" w:history="1">
        <w:r w:rsidR="00083C67" w:rsidRPr="00ED6788">
          <w:rPr>
            <w:rStyle w:val="Hyperlink"/>
            <w:sz w:val="20"/>
            <w:szCs w:val="20"/>
          </w:rPr>
          <w:t>кabinet@tigar.com</w:t>
        </w:r>
      </w:hyperlink>
      <w:r w:rsidR="00083C67" w:rsidRPr="00ED6788">
        <w:rPr>
          <w:sz w:val="20"/>
          <w:szCs w:val="20"/>
          <w:lang w:val="sr-Cyrl-RS"/>
        </w:rPr>
        <w:t xml:space="preserve"> и </w:t>
      </w:r>
      <w:hyperlink r:id="rId10" w:history="1">
        <w:r w:rsidR="00083C67" w:rsidRPr="00ED6788">
          <w:rPr>
            <w:rStyle w:val="Hyperlink"/>
            <w:sz w:val="20"/>
            <w:szCs w:val="20"/>
            <w:lang w:val="sr-Cyrl-RS"/>
          </w:rPr>
          <w:t>gorica.stankovic@tigar.</w:t>
        </w:r>
        <w:r w:rsidR="00083C67" w:rsidRPr="00ED6788">
          <w:rPr>
            <w:rStyle w:val="Hyperlink"/>
            <w:sz w:val="20"/>
            <w:szCs w:val="20"/>
            <w:lang w:val="sr-Latn-RS"/>
          </w:rPr>
          <w:t>com</w:t>
        </w:r>
      </w:hyperlink>
      <w:r w:rsidR="00083C67" w:rsidRPr="00ED6788">
        <w:rPr>
          <w:sz w:val="20"/>
          <w:szCs w:val="20"/>
          <w:lang w:val="sr-Cyrl-RS"/>
        </w:rPr>
        <w:t xml:space="preserve"> са назнаком „Захтев за добијање додатне документације и посету Друштву“. Уз захтев, заинтересована лица су дужна да доставе основне идентификационе податке.</w:t>
      </w:r>
    </w:p>
    <w:p w14:paraId="06270D1A" w14:textId="2C4DD2C6" w:rsidR="00DC71C4" w:rsidRPr="00ED6788" w:rsidRDefault="00DC71C4" w:rsidP="00ED6788">
      <w:pPr>
        <w:numPr>
          <w:ilvl w:val="0"/>
          <w:numId w:val="1"/>
        </w:numPr>
        <w:spacing w:line="240" w:lineRule="auto"/>
        <w:ind w:hanging="720"/>
        <w:rPr>
          <w:b/>
          <w:bCs/>
          <w:sz w:val="20"/>
          <w:szCs w:val="20"/>
          <w:lang w:val="sr-Cyrl-RS"/>
        </w:rPr>
      </w:pPr>
      <w:r w:rsidRPr="00ED6788">
        <w:rPr>
          <w:b/>
          <w:bCs/>
          <w:sz w:val="20"/>
          <w:szCs w:val="20"/>
          <w:lang w:val="sr-Cyrl-RS"/>
        </w:rPr>
        <w:t>Остали подаци од значаја за спровођење поступка</w:t>
      </w:r>
    </w:p>
    <w:p w14:paraId="6550563C" w14:textId="5609212D" w:rsidR="00083C67" w:rsidRPr="00ED6788" w:rsidRDefault="00DC71C4" w:rsidP="00ED6788">
      <w:pPr>
        <w:spacing w:line="240" w:lineRule="auto"/>
        <w:jc w:val="both"/>
        <w:rPr>
          <w:sz w:val="20"/>
          <w:szCs w:val="20"/>
          <w:lang w:val="sr-Cyrl-RS"/>
        </w:rPr>
      </w:pPr>
      <w:r w:rsidRPr="00ED6788">
        <w:rPr>
          <w:sz w:val="20"/>
          <w:szCs w:val="20"/>
          <w:lang w:val="sr-Cyrl-RS"/>
        </w:rPr>
        <w:t>За сва питања у вези са Јавним позивом, заинтересована лица могу контактирати доле наведена лица:</w:t>
      </w:r>
    </w:p>
    <w:p w14:paraId="19D1341E" w14:textId="53D59C7F" w:rsidR="00DC71C4" w:rsidRPr="00ED6788" w:rsidRDefault="00083C67" w:rsidP="00ED6788">
      <w:pPr>
        <w:spacing w:after="0" w:line="240" w:lineRule="auto"/>
        <w:jc w:val="both"/>
        <w:rPr>
          <w:b/>
          <w:bCs/>
          <w:sz w:val="20"/>
          <w:szCs w:val="20"/>
          <w:lang w:val="sr-Cyrl-RS"/>
        </w:rPr>
      </w:pPr>
      <w:r w:rsidRPr="00ED6788">
        <w:rPr>
          <w:b/>
          <w:bCs/>
          <w:sz w:val="20"/>
          <w:szCs w:val="20"/>
          <w:lang w:val="sr-Cyrl-RS"/>
        </w:rPr>
        <w:t>Горица Станковић</w:t>
      </w:r>
    </w:p>
    <w:p w14:paraId="631BDC65" w14:textId="62E127F6" w:rsidR="00083C67" w:rsidRPr="00ED6788" w:rsidRDefault="00083C67" w:rsidP="00ED6788">
      <w:pPr>
        <w:spacing w:after="0" w:line="240" w:lineRule="auto"/>
        <w:jc w:val="both"/>
        <w:rPr>
          <w:sz w:val="20"/>
          <w:szCs w:val="20"/>
          <w:lang w:val="sr-Cyrl-RS"/>
        </w:rPr>
      </w:pPr>
      <w:r w:rsidRPr="00ED6788">
        <w:rPr>
          <w:sz w:val="20"/>
          <w:szCs w:val="20"/>
          <w:lang w:val="sr-Cyrl-RS"/>
        </w:rPr>
        <w:t>Извршни директор за финансије и рачуноводство</w:t>
      </w:r>
    </w:p>
    <w:p w14:paraId="54620B98" w14:textId="35D2CA6C" w:rsidR="00083C67" w:rsidRPr="00ED6788" w:rsidRDefault="00083C67" w:rsidP="00ED6788">
      <w:pPr>
        <w:spacing w:line="240" w:lineRule="auto"/>
        <w:jc w:val="both"/>
        <w:rPr>
          <w:sz w:val="20"/>
          <w:szCs w:val="20"/>
          <w:lang w:val="sr-Cyrl-RS"/>
        </w:rPr>
      </w:pPr>
      <w:r w:rsidRPr="00ED6788">
        <w:rPr>
          <w:sz w:val="20"/>
          <w:szCs w:val="20"/>
          <w:lang w:val="sr-Cyrl-RS"/>
        </w:rPr>
        <w:t xml:space="preserve">Адреса елетронске поште: </w:t>
      </w:r>
      <w:hyperlink r:id="rId11" w:history="1">
        <w:r w:rsidRPr="00ED6788">
          <w:rPr>
            <w:rStyle w:val="Hyperlink"/>
            <w:sz w:val="20"/>
            <w:szCs w:val="20"/>
            <w:lang w:val="sr-Cyrl-RS"/>
          </w:rPr>
          <w:t>gorica.stankovic@tigar.</w:t>
        </w:r>
        <w:r w:rsidRPr="00ED6788">
          <w:rPr>
            <w:rStyle w:val="Hyperlink"/>
            <w:sz w:val="20"/>
            <w:szCs w:val="20"/>
            <w:lang w:val="sr-Latn-RS"/>
          </w:rPr>
          <w:t>com</w:t>
        </w:r>
      </w:hyperlink>
    </w:p>
    <w:p w14:paraId="1D8350D0" w14:textId="41025752" w:rsidR="00083C67" w:rsidRPr="00ED6788" w:rsidRDefault="00083C67" w:rsidP="00ED6788">
      <w:pPr>
        <w:spacing w:after="0" w:line="240" w:lineRule="auto"/>
        <w:jc w:val="both"/>
        <w:rPr>
          <w:b/>
          <w:bCs/>
          <w:sz w:val="20"/>
          <w:szCs w:val="20"/>
          <w:lang w:val="sr-Cyrl-RS"/>
        </w:rPr>
      </w:pPr>
      <w:r w:rsidRPr="00ED6788">
        <w:rPr>
          <w:b/>
          <w:bCs/>
          <w:sz w:val="20"/>
          <w:szCs w:val="20"/>
          <w:lang w:val="sr-Cyrl-RS"/>
        </w:rPr>
        <w:t>Кабинет директора</w:t>
      </w:r>
    </w:p>
    <w:p w14:paraId="7ED31FFD" w14:textId="31BA12E0" w:rsidR="00083C67" w:rsidRPr="00ED6788" w:rsidRDefault="00083C67" w:rsidP="00ED6788">
      <w:pPr>
        <w:spacing w:line="240" w:lineRule="auto"/>
        <w:jc w:val="both"/>
        <w:rPr>
          <w:sz w:val="20"/>
          <w:szCs w:val="20"/>
          <w:lang w:val="sr-Cyrl-RS"/>
        </w:rPr>
      </w:pPr>
      <w:r w:rsidRPr="00ED6788">
        <w:rPr>
          <w:sz w:val="20"/>
          <w:szCs w:val="20"/>
          <w:lang w:val="sr-Cyrl-RS"/>
        </w:rPr>
        <w:t xml:space="preserve">Адреса елетронске поште: </w:t>
      </w:r>
      <w:hyperlink r:id="rId12" w:history="1">
        <w:r w:rsidRPr="00ED6788">
          <w:rPr>
            <w:rStyle w:val="Hyperlink"/>
            <w:sz w:val="20"/>
            <w:szCs w:val="20"/>
          </w:rPr>
          <w:t>кabinet@tigar.com</w:t>
        </w:r>
      </w:hyperlink>
    </w:p>
    <w:p w14:paraId="59D25775" w14:textId="77777777" w:rsidR="00083C67" w:rsidRPr="00ED6788" w:rsidRDefault="00083C67" w:rsidP="00ED6788">
      <w:pPr>
        <w:spacing w:line="240" w:lineRule="auto"/>
        <w:jc w:val="both"/>
        <w:rPr>
          <w:sz w:val="20"/>
          <w:szCs w:val="20"/>
          <w:lang w:val="sr-Cyrl-RS"/>
        </w:rPr>
      </w:pPr>
    </w:p>
    <w:sectPr w:rsidR="00083C67" w:rsidRPr="00ED6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59C3"/>
    <w:multiLevelType w:val="multilevel"/>
    <w:tmpl w:val="90DC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F4C77"/>
    <w:multiLevelType w:val="multilevel"/>
    <w:tmpl w:val="001ED4F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8E708D"/>
    <w:multiLevelType w:val="multilevel"/>
    <w:tmpl w:val="001ED4F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9176303">
    <w:abstractNumId w:val="1"/>
  </w:num>
  <w:num w:numId="2" w16cid:durableId="648707280">
    <w:abstractNumId w:val="0"/>
  </w:num>
  <w:num w:numId="3" w16cid:durableId="612904405">
    <w:abstractNumId w:val="2"/>
  </w:num>
  <w:num w:numId="4" w16cid:durableId="164326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5A"/>
    <w:rsid w:val="00006D9C"/>
    <w:rsid w:val="00020160"/>
    <w:rsid w:val="00083C67"/>
    <w:rsid w:val="00172B87"/>
    <w:rsid w:val="001963E8"/>
    <w:rsid w:val="0020642B"/>
    <w:rsid w:val="00240FCB"/>
    <w:rsid w:val="00242CDF"/>
    <w:rsid w:val="002826FA"/>
    <w:rsid w:val="003167B2"/>
    <w:rsid w:val="003554AC"/>
    <w:rsid w:val="003D2D2D"/>
    <w:rsid w:val="00401EF1"/>
    <w:rsid w:val="004A6A67"/>
    <w:rsid w:val="004F0269"/>
    <w:rsid w:val="00522868"/>
    <w:rsid w:val="00593D10"/>
    <w:rsid w:val="00635FF1"/>
    <w:rsid w:val="00650AB2"/>
    <w:rsid w:val="006846E2"/>
    <w:rsid w:val="006B7F79"/>
    <w:rsid w:val="00702C64"/>
    <w:rsid w:val="007463B1"/>
    <w:rsid w:val="00862726"/>
    <w:rsid w:val="00987631"/>
    <w:rsid w:val="009B38EF"/>
    <w:rsid w:val="00A11291"/>
    <w:rsid w:val="00A12914"/>
    <w:rsid w:val="00A1461D"/>
    <w:rsid w:val="00A93303"/>
    <w:rsid w:val="00AA4810"/>
    <w:rsid w:val="00B66C5A"/>
    <w:rsid w:val="00C46429"/>
    <w:rsid w:val="00C46671"/>
    <w:rsid w:val="00DC71C4"/>
    <w:rsid w:val="00E30D5F"/>
    <w:rsid w:val="00ED6788"/>
    <w:rsid w:val="00EF25B1"/>
    <w:rsid w:val="00F1151B"/>
    <w:rsid w:val="00F169F3"/>
    <w:rsid w:val="00F37280"/>
    <w:rsid w:val="00F868E8"/>
    <w:rsid w:val="00FD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BDFA"/>
  <w15:chartTrackingRefBased/>
  <w15:docId w15:val="{DED8A86D-3A63-4C16-9ED6-B0990F47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9F3"/>
    <w:pPr>
      <w:spacing w:after="240" w:line="360" w:lineRule="atLeast"/>
    </w:pPr>
    <w:rPr>
      <w:rFonts w:ascii="Trebuchet MS" w:eastAsia="Times New Roman" w:hAnsi="Trebuchet MS" w:cs="Trebuchet MS"/>
      <w:kern w:val="0"/>
      <w:lang w:eastAsia="en-GB"/>
      <w14:ligatures w14:val="none"/>
    </w:rPr>
  </w:style>
  <w:style w:type="paragraph" w:styleId="Heading1">
    <w:name w:val="heading 1"/>
    <w:basedOn w:val="Normal"/>
    <w:next w:val="Normal"/>
    <w:link w:val="Heading1Char"/>
    <w:uiPriority w:val="9"/>
    <w:qFormat/>
    <w:rsid w:val="00B66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C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C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C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C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C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C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C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C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C5A"/>
    <w:rPr>
      <w:rFonts w:eastAsiaTheme="majorEastAsia" w:cstheme="majorBidi"/>
      <w:color w:val="272727" w:themeColor="text1" w:themeTint="D8"/>
    </w:rPr>
  </w:style>
  <w:style w:type="paragraph" w:styleId="Title">
    <w:name w:val="Title"/>
    <w:basedOn w:val="Normal"/>
    <w:next w:val="Normal"/>
    <w:link w:val="TitleChar"/>
    <w:uiPriority w:val="10"/>
    <w:qFormat/>
    <w:rsid w:val="00B66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C5A"/>
    <w:pPr>
      <w:spacing w:before="160"/>
      <w:jc w:val="center"/>
    </w:pPr>
    <w:rPr>
      <w:i/>
      <w:iCs/>
      <w:color w:val="404040" w:themeColor="text1" w:themeTint="BF"/>
    </w:rPr>
  </w:style>
  <w:style w:type="character" w:customStyle="1" w:styleId="QuoteChar">
    <w:name w:val="Quote Char"/>
    <w:basedOn w:val="DefaultParagraphFont"/>
    <w:link w:val="Quote"/>
    <w:uiPriority w:val="29"/>
    <w:rsid w:val="00B66C5A"/>
    <w:rPr>
      <w:i/>
      <w:iCs/>
      <w:color w:val="404040" w:themeColor="text1" w:themeTint="BF"/>
    </w:rPr>
  </w:style>
  <w:style w:type="paragraph" w:styleId="ListParagraph">
    <w:name w:val="List Paragraph"/>
    <w:basedOn w:val="Normal"/>
    <w:uiPriority w:val="34"/>
    <w:qFormat/>
    <w:rsid w:val="00B66C5A"/>
    <w:pPr>
      <w:ind w:left="720"/>
      <w:contextualSpacing/>
    </w:pPr>
  </w:style>
  <w:style w:type="character" w:styleId="IntenseEmphasis">
    <w:name w:val="Intense Emphasis"/>
    <w:basedOn w:val="DefaultParagraphFont"/>
    <w:uiPriority w:val="21"/>
    <w:qFormat/>
    <w:rsid w:val="00B66C5A"/>
    <w:rPr>
      <w:i/>
      <w:iCs/>
      <w:color w:val="0F4761" w:themeColor="accent1" w:themeShade="BF"/>
    </w:rPr>
  </w:style>
  <w:style w:type="paragraph" w:styleId="IntenseQuote">
    <w:name w:val="Intense Quote"/>
    <w:basedOn w:val="Normal"/>
    <w:next w:val="Normal"/>
    <w:link w:val="IntenseQuoteChar"/>
    <w:uiPriority w:val="30"/>
    <w:qFormat/>
    <w:rsid w:val="00B66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C5A"/>
    <w:rPr>
      <w:i/>
      <w:iCs/>
      <w:color w:val="0F4761" w:themeColor="accent1" w:themeShade="BF"/>
    </w:rPr>
  </w:style>
  <w:style w:type="character" w:styleId="IntenseReference">
    <w:name w:val="Intense Reference"/>
    <w:basedOn w:val="DefaultParagraphFont"/>
    <w:uiPriority w:val="32"/>
    <w:qFormat/>
    <w:rsid w:val="00B66C5A"/>
    <w:rPr>
      <w:b/>
      <w:bCs/>
      <w:smallCaps/>
      <w:color w:val="0F4761" w:themeColor="accent1" w:themeShade="BF"/>
      <w:spacing w:val="5"/>
    </w:rPr>
  </w:style>
  <w:style w:type="paragraph" w:customStyle="1" w:styleId="BDONormal">
    <w:name w:val="BDO_Normal"/>
    <w:link w:val="BDONormalChar"/>
    <w:uiPriority w:val="99"/>
    <w:rsid w:val="00B66C5A"/>
    <w:pPr>
      <w:spacing w:after="240" w:line="360" w:lineRule="atLeast"/>
    </w:pPr>
    <w:rPr>
      <w:rFonts w:ascii="Trebuchet MS" w:eastAsia="Times New Roman" w:hAnsi="Trebuchet MS" w:cs="Trebuchet MS"/>
      <w:kern w:val="0"/>
      <w:sz w:val="24"/>
      <w:szCs w:val="24"/>
      <w:lang w:eastAsia="en-GB"/>
      <w14:ligatures w14:val="none"/>
    </w:rPr>
  </w:style>
  <w:style w:type="character" w:customStyle="1" w:styleId="BDONormalChar">
    <w:name w:val="BDO_Normal Char"/>
    <w:link w:val="BDONormal"/>
    <w:uiPriority w:val="99"/>
    <w:locked/>
    <w:rsid w:val="00B66C5A"/>
    <w:rPr>
      <w:rFonts w:ascii="Trebuchet MS" w:eastAsia="Times New Roman" w:hAnsi="Trebuchet MS" w:cs="Trebuchet MS"/>
      <w:kern w:val="0"/>
      <w:sz w:val="24"/>
      <w:szCs w:val="24"/>
      <w:lang w:eastAsia="en-GB"/>
      <w14:ligatures w14:val="none"/>
    </w:rPr>
  </w:style>
  <w:style w:type="table" w:styleId="TableGrid">
    <w:name w:val="Table Grid"/>
    <w:basedOn w:val="TableNormal"/>
    <w:uiPriority w:val="39"/>
    <w:rsid w:val="0086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0FCB"/>
    <w:rPr>
      <w:sz w:val="16"/>
      <w:szCs w:val="16"/>
    </w:rPr>
  </w:style>
  <w:style w:type="paragraph" w:styleId="CommentText">
    <w:name w:val="annotation text"/>
    <w:basedOn w:val="Normal"/>
    <w:link w:val="CommentTextChar"/>
    <w:uiPriority w:val="99"/>
    <w:unhideWhenUsed/>
    <w:rsid w:val="00240FCB"/>
    <w:pPr>
      <w:spacing w:line="240" w:lineRule="auto"/>
    </w:pPr>
    <w:rPr>
      <w:sz w:val="20"/>
      <w:szCs w:val="20"/>
    </w:rPr>
  </w:style>
  <w:style w:type="character" w:customStyle="1" w:styleId="CommentTextChar">
    <w:name w:val="Comment Text Char"/>
    <w:basedOn w:val="DefaultParagraphFont"/>
    <w:link w:val="CommentText"/>
    <w:uiPriority w:val="99"/>
    <w:rsid w:val="00240FCB"/>
    <w:rPr>
      <w:rFonts w:ascii="Trebuchet MS" w:eastAsia="Times New Roman" w:hAnsi="Trebuchet MS" w:cs="Trebuchet MS"/>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40FCB"/>
    <w:rPr>
      <w:b/>
      <w:bCs/>
    </w:rPr>
  </w:style>
  <w:style w:type="character" w:customStyle="1" w:styleId="CommentSubjectChar">
    <w:name w:val="Comment Subject Char"/>
    <w:basedOn w:val="CommentTextChar"/>
    <w:link w:val="CommentSubject"/>
    <w:uiPriority w:val="99"/>
    <w:semiHidden/>
    <w:rsid w:val="00240FCB"/>
    <w:rPr>
      <w:rFonts w:ascii="Trebuchet MS" w:eastAsia="Times New Roman" w:hAnsi="Trebuchet MS" w:cs="Trebuchet MS"/>
      <w:b/>
      <w:bCs/>
      <w:kern w:val="0"/>
      <w:sz w:val="20"/>
      <w:szCs w:val="20"/>
      <w:lang w:eastAsia="en-GB"/>
      <w14:ligatures w14:val="none"/>
    </w:rPr>
  </w:style>
  <w:style w:type="character" w:styleId="Hyperlink">
    <w:name w:val="Hyperlink"/>
    <w:basedOn w:val="DefaultParagraphFont"/>
    <w:uiPriority w:val="99"/>
    <w:unhideWhenUsed/>
    <w:rsid w:val="00A12914"/>
    <w:rPr>
      <w:color w:val="467886" w:themeColor="hyperlink"/>
      <w:u w:val="single"/>
    </w:rPr>
  </w:style>
  <w:style w:type="character" w:styleId="UnresolvedMention">
    <w:name w:val="Unresolved Mention"/>
    <w:basedOn w:val="DefaultParagraphFont"/>
    <w:uiPriority w:val="99"/>
    <w:semiHidden/>
    <w:unhideWhenUsed/>
    <w:rsid w:val="00A12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6745">
      <w:bodyDiv w:val="1"/>
      <w:marLeft w:val="0"/>
      <w:marRight w:val="0"/>
      <w:marTop w:val="0"/>
      <w:marBottom w:val="0"/>
      <w:divBdr>
        <w:top w:val="none" w:sz="0" w:space="0" w:color="auto"/>
        <w:left w:val="none" w:sz="0" w:space="0" w:color="auto"/>
        <w:bottom w:val="none" w:sz="0" w:space="0" w:color="auto"/>
        <w:right w:val="none" w:sz="0" w:space="0" w:color="auto"/>
      </w:divBdr>
    </w:div>
    <w:div w:id="129203633">
      <w:bodyDiv w:val="1"/>
      <w:marLeft w:val="0"/>
      <w:marRight w:val="0"/>
      <w:marTop w:val="0"/>
      <w:marBottom w:val="0"/>
      <w:divBdr>
        <w:top w:val="none" w:sz="0" w:space="0" w:color="auto"/>
        <w:left w:val="none" w:sz="0" w:space="0" w:color="auto"/>
        <w:bottom w:val="none" w:sz="0" w:space="0" w:color="auto"/>
        <w:right w:val="none" w:sz="0" w:space="0" w:color="auto"/>
      </w:divBdr>
    </w:div>
    <w:div w:id="153498067">
      <w:bodyDiv w:val="1"/>
      <w:marLeft w:val="0"/>
      <w:marRight w:val="0"/>
      <w:marTop w:val="0"/>
      <w:marBottom w:val="0"/>
      <w:divBdr>
        <w:top w:val="none" w:sz="0" w:space="0" w:color="auto"/>
        <w:left w:val="none" w:sz="0" w:space="0" w:color="auto"/>
        <w:bottom w:val="none" w:sz="0" w:space="0" w:color="auto"/>
        <w:right w:val="none" w:sz="0" w:space="0" w:color="auto"/>
      </w:divBdr>
    </w:div>
    <w:div w:id="366563200">
      <w:bodyDiv w:val="1"/>
      <w:marLeft w:val="0"/>
      <w:marRight w:val="0"/>
      <w:marTop w:val="0"/>
      <w:marBottom w:val="0"/>
      <w:divBdr>
        <w:top w:val="none" w:sz="0" w:space="0" w:color="auto"/>
        <w:left w:val="none" w:sz="0" w:space="0" w:color="auto"/>
        <w:bottom w:val="none" w:sz="0" w:space="0" w:color="auto"/>
        <w:right w:val="none" w:sz="0" w:space="0" w:color="auto"/>
      </w:divBdr>
    </w:div>
    <w:div w:id="436144665">
      <w:bodyDiv w:val="1"/>
      <w:marLeft w:val="0"/>
      <w:marRight w:val="0"/>
      <w:marTop w:val="0"/>
      <w:marBottom w:val="0"/>
      <w:divBdr>
        <w:top w:val="none" w:sz="0" w:space="0" w:color="auto"/>
        <w:left w:val="none" w:sz="0" w:space="0" w:color="auto"/>
        <w:bottom w:val="none" w:sz="0" w:space="0" w:color="auto"/>
        <w:right w:val="none" w:sz="0" w:space="0" w:color="auto"/>
      </w:divBdr>
    </w:div>
    <w:div w:id="535116772">
      <w:bodyDiv w:val="1"/>
      <w:marLeft w:val="0"/>
      <w:marRight w:val="0"/>
      <w:marTop w:val="0"/>
      <w:marBottom w:val="0"/>
      <w:divBdr>
        <w:top w:val="none" w:sz="0" w:space="0" w:color="auto"/>
        <w:left w:val="none" w:sz="0" w:space="0" w:color="auto"/>
        <w:bottom w:val="none" w:sz="0" w:space="0" w:color="auto"/>
        <w:right w:val="none" w:sz="0" w:space="0" w:color="auto"/>
      </w:divBdr>
    </w:div>
    <w:div w:id="618535711">
      <w:bodyDiv w:val="1"/>
      <w:marLeft w:val="0"/>
      <w:marRight w:val="0"/>
      <w:marTop w:val="0"/>
      <w:marBottom w:val="0"/>
      <w:divBdr>
        <w:top w:val="none" w:sz="0" w:space="0" w:color="auto"/>
        <w:left w:val="none" w:sz="0" w:space="0" w:color="auto"/>
        <w:bottom w:val="none" w:sz="0" w:space="0" w:color="auto"/>
        <w:right w:val="none" w:sz="0" w:space="0" w:color="auto"/>
      </w:divBdr>
    </w:div>
    <w:div w:id="908419380">
      <w:bodyDiv w:val="1"/>
      <w:marLeft w:val="0"/>
      <w:marRight w:val="0"/>
      <w:marTop w:val="0"/>
      <w:marBottom w:val="0"/>
      <w:divBdr>
        <w:top w:val="none" w:sz="0" w:space="0" w:color="auto"/>
        <w:left w:val="none" w:sz="0" w:space="0" w:color="auto"/>
        <w:bottom w:val="none" w:sz="0" w:space="0" w:color="auto"/>
        <w:right w:val="none" w:sz="0" w:space="0" w:color="auto"/>
      </w:divBdr>
    </w:div>
    <w:div w:id="934946388">
      <w:bodyDiv w:val="1"/>
      <w:marLeft w:val="0"/>
      <w:marRight w:val="0"/>
      <w:marTop w:val="0"/>
      <w:marBottom w:val="0"/>
      <w:divBdr>
        <w:top w:val="none" w:sz="0" w:space="0" w:color="auto"/>
        <w:left w:val="none" w:sz="0" w:space="0" w:color="auto"/>
        <w:bottom w:val="none" w:sz="0" w:space="0" w:color="auto"/>
        <w:right w:val="none" w:sz="0" w:space="0" w:color="auto"/>
      </w:divBdr>
    </w:div>
    <w:div w:id="945229468">
      <w:bodyDiv w:val="1"/>
      <w:marLeft w:val="0"/>
      <w:marRight w:val="0"/>
      <w:marTop w:val="0"/>
      <w:marBottom w:val="0"/>
      <w:divBdr>
        <w:top w:val="none" w:sz="0" w:space="0" w:color="auto"/>
        <w:left w:val="none" w:sz="0" w:space="0" w:color="auto"/>
        <w:bottom w:val="none" w:sz="0" w:space="0" w:color="auto"/>
        <w:right w:val="none" w:sz="0" w:space="0" w:color="auto"/>
      </w:divBdr>
    </w:div>
    <w:div w:id="1166820206">
      <w:bodyDiv w:val="1"/>
      <w:marLeft w:val="0"/>
      <w:marRight w:val="0"/>
      <w:marTop w:val="0"/>
      <w:marBottom w:val="0"/>
      <w:divBdr>
        <w:top w:val="none" w:sz="0" w:space="0" w:color="auto"/>
        <w:left w:val="none" w:sz="0" w:space="0" w:color="auto"/>
        <w:bottom w:val="none" w:sz="0" w:space="0" w:color="auto"/>
        <w:right w:val="none" w:sz="0" w:space="0" w:color="auto"/>
      </w:divBdr>
    </w:div>
    <w:div w:id="1322000844">
      <w:bodyDiv w:val="1"/>
      <w:marLeft w:val="0"/>
      <w:marRight w:val="0"/>
      <w:marTop w:val="0"/>
      <w:marBottom w:val="0"/>
      <w:divBdr>
        <w:top w:val="none" w:sz="0" w:space="0" w:color="auto"/>
        <w:left w:val="none" w:sz="0" w:space="0" w:color="auto"/>
        <w:bottom w:val="none" w:sz="0" w:space="0" w:color="auto"/>
        <w:right w:val="none" w:sz="0" w:space="0" w:color="auto"/>
      </w:divBdr>
    </w:div>
    <w:div w:id="1568999961">
      <w:bodyDiv w:val="1"/>
      <w:marLeft w:val="0"/>
      <w:marRight w:val="0"/>
      <w:marTop w:val="0"/>
      <w:marBottom w:val="0"/>
      <w:divBdr>
        <w:top w:val="none" w:sz="0" w:space="0" w:color="auto"/>
        <w:left w:val="none" w:sz="0" w:space="0" w:color="auto"/>
        <w:bottom w:val="none" w:sz="0" w:space="0" w:color="auto"/>
        <w:right w:val="none" w:sz="0" w:space="0" w:color="auto"/>
      </w:divBdr>
    </w:div>
    <w:div w:id="1646163641">
      <w:bodyDiv w:val="1"/>
      <w:marLeft w:val="0"/>
      <w:marRight w:val="0"/>
      <w:marTop w:val="0"/>
      <w:marBottom w:val="0"/>
      <w:divBdr>
        <w:top w:val="none" w:sz="0" w:space="0" w:color="auto"/>
        <w:left w:val="none" w:sz="0" w:space="0" w:color="auto"/>
        <w:bottom w:val="none" w:sz="0" w:space="0" w:color="auto"/>
        <w:right w:val="none" w:sz="0" w:space="0" w:color="auto"/>
      </w:divBdr>
    </w:div>
    <w:div w:id="1753161293">
      <w:bodyDiv w:val="1"/>
      <w:marLeft w:val="0"/>
      <w:marRight w:val="0"/>
      <w:marTop w:val="0"/>
      <w:marBottom w:val="0"/>
      <w:divBdr>
        <w:top w:val="none" w:sz="0" w:space="0" w:color="auto"/>
        <w:left w:val="none" w:sz="0" w:space="0" w:color="auto"/>
        <w:bottom w:val="none" w:sz="0" w:space="0" w:color="auto"/>
        <w:right w:val="none" w:sz="0" w:space="0" w:color="auto"/>
      </w:divBdr>
    </w:div>
    <w:div w:id="1884707952">
      <w:bodyDiv w:val="1"/>
      <w:marLeft w:val="0"/>
      <w:marRight w:val="0"/>
      <w:marTop w:val="0"/>
      <w:marBottom w:val="0"/>
      <w:divBdr>
        <w:top w:val="none" w:sz="0" w:space="0" w:color="auto"/>
        <w:left w:val="none" w:sz="0" w:space="0" w:color="auto"/>
        <w:bottom w:val="none" w:sz="0" w:space="0" w:color="auto"/>
        <w:right w:val="none" w:sz="0" w:space="0" w:color="auto"/>
      </w:divBdr>
    </w:div>
    <w:div w:id="205261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gar.com/uppr2022-07-3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ica.stankovic@tigar.com" TargetMode="External"/><Relationship Id="rId12" Type="http://schemas.openxmlformats.org/officeDocument/2006/relationships/hyperlink" Target="mailto:&#1082;abinet@tig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ica.stankovic@tigar.com" TargetMode="External"/><Relationship Id="rId11" Type="http://schemas.openxmlformats.org/officeDocument/2006/relationships/hyperlink" Target="mailto:gorica.stankovic@tigar.com" TargetMode="External"/><Relationship Id="rId5" Type="http://schemas.openxmlformats.org/officeDocument/2006/relationships/hyperlink" Target="mailto:&#1082;abinet@tigar.com" TargetMode="External"/><Relationship Id="rId10" Type="http://schemas.openxmlformats.org/officeDocument/2006/relationships/hyperlink" Target="mailto:gorica.stankovic@tigar.com" TargetMode="External"/><Relationship Id="rId4" Type="http://schemas.openxmlformats.org/officeDocument/2006/relationships/webSettings" Target="webSettings.xml"/><Relationship Id="rId9" Type="http://schemas.openxmlformats.org/officeDocument/2006/relationships/hyperlink" Target="mailto:&#1082;abinet@tiga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Jelenam Jankovic</dc:creator>
  <cp:keywords/>
  <dc:description/>
  <cp:lastModifiedBy>Jelenam Jankovic</cp:lastModifiedBy>
  <cp:revision>3</cp:revision>
  <dcterms:created xsi:type="dcterms:W3CDTF">2025-02-05T09:05:00Z</dcterms:created>
  <dcterms:modified xsi:type="dcterms:W3CDTF">2025-02-05T09:14:00Z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Normal.dotm</vt:lpwstr>
  </property>
</Properties>
</file>